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78C815">
      <w:pPr>
        <w:jc w:val="both"/>
        <w:rPr>
          <w:rFonts w:ascii="宋体" w:hAnsi="宋体" w:eastAsia="宋体" w:cs="Arial"/>
          <w:b/>
          <w:bCs/>
          <w:color w:val="auto"/>
          <w:sz w:val="36"/>
          <w:szCs w:val="36"/>
          <w:highlight w:val="none"/>
        </w:rPr>
      </w:pPr>
      <w:bookmarkStart w:id="14" w:name="_GoBack"/>
    </w:p>
    <w:p w14:paraId="2041E15C">
      <w:pPr>
        <w:jc w:val="center"/>
        <w:rPr>
          <w:rFonts w:ascii="宋体" w:hAnsi="宋体" w:eastAsia="宋体" w:cs="Arial"/>
          <w:b/>
          <w:bCs/>
          <w:color w:val="auto"/>
          <w:sz w:val="36"/>
          <w:szCs w:val="36"/>
          <w:highlight w:val="none"/>
        </w:rPr>
      </w:pPr>
    </w:p>
    <w:p w14:paraId="3B5F079F">
      <w:pPr>
        <w:jc w:val="center"/>
        <w:rPr>
          <w:rFonts w:ascii="宋体" w:hAnsi="宋体" w:eastAsia="宋体" w:cs="Arial"/>
          <w:b/>
          <w:bCs/>
          <w:color w:val="auto"/>
          <w:sz w:val="36"/>
          <w:szCs w:val="36"/>
          <w:highlight w:val="none"/>
        </w:rPr>
      </w:pPr>
    </w:p>
    <w:p w14:paraId="10E3E7C7">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2024年中央补助地方博物馆纪念馆逐步免费开放专项资金项目支出绩效评价报告</w:t>
      </w:r>
    </w:p>
    <w:p w14:paraId="1F96178A">
      <w:pPr>
        <w:pStyle w:val="4"/>
        <w:rPr>
          <w:rFonts w:hint="eastAsia"/>
          <w:color w:val="auto"/>
          <w:highlight w:val="none"/>
          <w:lang w:val="en-US" w:eastAsia="zh-CN"/>
        </w:rPr>
      </w:pPr>
    </w:p>
    <w:p w14:paraId="2A72E047">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（2024年度）</w:t>
      </w:r>
    </w:p>
    <w:p w14:paraId="3440C564">
      <w:pPr>
        <w:spacing w:line="240" w:lineRule="atLeast"/>
        <w:jc w:val="center"/>
        <w:rPr>
          <w:rFonts w:ascii="宋体" w:hAnsi="宋体" w:eastAsia="宋体" w:cs="Arial"/>
          <w:b/>
          <w:bCs/>
          <w:color w:val="auto"/>
          <w:sz w:val="36"/>
          <w:szCs w:val="36"/>
          <w:highlight w:val="none"/>
        </w:rPr>
      </w:pPr>
    </w:p>
    <w:p w14:paraId="62BA3440">
      <w:pPr>
        <w:spacing w:line="240" w:lineRule="atLeast"/>
        <w:jc w:val="center"/>
        <w:rPr>
          <w:rFonts w:ascii="宋体" w:hAnsi="宋体" w:eastAsia="宋体" w:cs="Arial"/>
          <w:b/>
          <w:bCs/>
          <w:color w:val="auto"/>
          <w:sz w:val="36"/>
          <w:szCs w:val="36"/>
          <w:highlight w:val="none"/>
        </w:rPr>
      </w:pPr>
    </w:p>
    <w:p w14:paraId="144A0CF4">
      <w:pPr>
        <w:spacing w:line="240" w:lineRule="atLeast"/>
        <w:jc w:val="center"/>
        <w:rPr>
          <w:rFonts w:ascii="宋体" w:hAnsi="宋体" w:eastAsia="宋体" w:cs="Arial"/>
          <w:b/>
          <w:bCs/>
          <w:color w:val="auto"/>
          <w:sz w:val="36"/>
          <w:szCs w:val="36"/>
          <w:highlight w:val="none"/>
        </w:rPr>
      </w:pPr>
    </w:p>
    <w:p w14:paraId="2ED89A1C">
      <w:pPr>
        <w:spacing w:line="240" w:lineRule="atLeast"/>
        <w:jc w:val="center"/>
        <w:rPr>
          <w:rFonts w:ascii="宋体" w:hAnsi="宋体" w:eastAsia="宋体" w:cs="Arial"/>
          <w:b/>
          <w:bCs/>
          <w:color w:val="auto"/>
          <w:sz w:val="36"/>
          <w:szCs w:val="36"/>
          <w:highlight w:val="none"/>
        </w:rPr>
      </w:pPr>
    </w:p>
    <w:p w14:paraId="422B4C6C">
      <w:pPr>
        <w:spacing w:line="240" w:lineRule="atLeast"/>
        <w:jc w:val="center"/>
        <w:rPr>
          <w:rFonts w:ascii="宋体" w:hAnsi="宋体" w:eastAsia="宋体" w:cs="Arial"/>
          <w:b/>
          <w:bCs/>
          <w:color w:val="auto"/>
          <w:sz w:val="36"/>
          <w:szCs w:val="36"/>
          <w:highlight w:val="none"/>
        </w:rPr>
      </w:pPr>
    </w:p>
    <w:p w14:paraId="3049E4A5">
      <w:pPr>
        <w:spacing w:line="240" w:lineRule="auto"/>
        <w:jc w:val="center"/>
        <w:rPr>
          <w:rFonts w:ascii="宋体" w:hAnsi="宋体" w:eastAsia="宋体" w:cs="Arial"/>
          <w:b/>
          <w:bCs/>
          <w:color w:val="auto"/>
          <w:sz w:val="36"/>
          <w:szCs w:val="36"/>
          <w:highlight w:val="none"/>
        </w:rPr>
      </w:pPr>
    </w:p>
    <w:p w14:paraId="2F1ADA6C">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项目名称：2024年博物馆纪念馆逐步免费开放专项资金</w:t>
      </w:r>
    </w:p>
    <w:p w14:paraId="6494C587">
      <w:pPr>
        <w:spacing w:line="360" w:lineRule="auto"/>
        <w:ind w:firstLine="600"/>
        <w:rPr>
          <w:rFonts w:hint="eastAsia" w:ascii="黑体" w:eastAsia="黑体"/>
          <w:color w:val="auto"/>
          <w:sz w:val="30"/>
          <w:szCs w:val="30"/>
          <w:highlight w:val="none"/>
          <w:lang w:val="en-US" w:eastAsia="zh-CN"/>
        </w:rPr>
      </w:pPr>
      <w:r>
        <w:rPr>
          <w:rFonts w:hint="eastAsia" w:ascii="黑体" w:eastAsia="黑体"/>
          <w:color w:val="auto"/>
          <w:sz w:val="30"/>
          <w:szCs w:val="30"/>
          <w:highlight w:val="none"/>
        </w:rPr>
        <w:t>实施单位（公章）：和静县东归博物馆(和静县文物管理所）</w:t>
      </w:r>
    </w:p>
    <w:p w14:paraId="51D3373E">
      <w:pPr>
        <w:ind w:firstLine="600"/>
        <w:rPr>
          <w:rFonts w:hint="eastAsia" w:ascii="黑体" w:eastAsia="黑体"/>
          <w:color w:val="auto"/>
          <w:sz w:val="30"/>
          <w:szCs w:val="30"/>
          <w:highlight w:val="none"/>
          <w:lang w:eastAsia="zh-CN"/>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eastAsia="zh-CN"/>
        </w:rPr>
        <w:t>才仁加甫</w:t>
      </w:r>
    </w:p>
    <w:p w14:paraId="6D593A45">
      <w:pPr>
        <w:ind w:firstLine="600"/>
        <w:rPr>
          <w:rFonts w:hint="default" w:ascii="黑体" w:eastAsia="黑体"/>
          <w:color w:val="auto"/>
          <w:sz w:val="30"/>
          <w:szCs w:val="30"/>
          <w:highlight w:val="none"/>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5</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15日</w:t>
      </w:r>
    </w:p>
    <w:p w14:paraId="61DE2348">
      <w:pPr>
        <w:spacing w:line="360" w:lineRule="auto"/>
        <w:ind w:firstLine="1800" w:firstLineChars="600"/>
        <w:rPr>
          <w:rFonts w:ascii="黑体" w:eastAsia="黑体"/>
          <w:color w:val="auto"/>
          <w:sz w:val="30"/>
          <w:szCs w:val="30"/>
          <w:highlight w:val="none"/>
        </w:rPr>
      </w:pPr>
      <w:r>
        <w:rPr>
          <w:rFonts w:hint="eastAsia" w:ascii="黑体" w:eastAsia="黑体"/>
          <w:color w:val="auto"/>
          <w:sz w:val="30"/>
          <w:szCs w:val="30"/>
          <w:highlight w:val="none"/>
        </w:rPr>
        <w:t>2024年博物馆纪念馆逐步免费开放专项资金</w:t>
      </w:r>
    </w:p>
    <w:p w14:paraId="689E9D4E">
      <w:pPr>
        <w:ind w:firstLine="0" w:firstLineChars="0"/>
        <w:jc w:val="center"/>
        <w:rPr>
          <w:b/>
          <w:bCs/>
          <w:color w:val="auto"/>
          <w:sz w:val="32"/>
          <w:szCs w:val="28"/>
          <w:highlight w:val="none"/>
        </w:rPr>
      </w:pPr>
      <w:r>
        <w:rPr>
          <w:rFonts w:hint="eastAsia"/>
          <w:b/>
          <w:bCs/>
          <w:color w:val="auto"/>
          <w:sz w:val="32"/>
          <w:szCs w:val="28"/>
          <w:highlight w:val="none"/>
        </w:rPr>
        <w:t>项目支出绩效评价报告</w:t>
      </w:r>
    </w:p>
    <w:p w14:paraId="0256114B">
      <w:pPr>
        <w:pStyle w:val="2"/>
        <w:ind w:firstLine="643"/>
        <w:rPr>
          <w:color w:val="auto"/>
          <w:highlight w:val="none"/>
        </w:rPr>
      </w:pPr>
      <w:r>
        <w:rPr>
          <w:rFonts w:hint="eastAsia"/>
          <w:color w:val="auto"/>
          <w:highlight w:val="none"/>
        </w:rPr>
        <w:t>一、基本情况</w:t>
      </w:r>
    </w:p>
    <w:p w14:paraId="5720D6BF">
      <w:pPr>
        <w:pStyle w:val="3"/>
        <w:ind w:firstLine="643"/>
        <w:rPr>
          <w:color w:val="auto"/>
          <w:highlight w:val="none"/>
        </w:rPr>
      </w:pPr>
      <w:r>
        <w:rPr>
          <w:rFonts w:hint="eastAsia"/>
          <w:color w:val="auto"/>
          <w:highlight w:val="none"/>
        </w:rPr>
        <w:t>（一）项目概况</w:t>
      </w:r>
    </w:p>
    <w:p w14:paraId="4A314DE7">
      <w:pPr>
        <w:pStyle w:val="4"/>
        <w:ind w:firstLine="562"/>
        <w:rPr>
          <w:color w:val="auto"/>
          <w:highlight w:val="none"/>
        </w:rPr>
      </w:pPr>
      <w:r>
        <w:rPr>
          <w:rFonts w:hint="eastAsia"/>
          <w:color w:val="auto"/>
          <w:highlight w:val="none"/>
        </w:rPr>
        <w:t>1.项目背景</w:t>
      </w:r>
    </w:p>
    <w:p w14:paraId="41D6C30F">
      <w:pPr>
        <w:spacing w:line="360" w:lineRule="auto"/>
        <w:ind w:firstLine="600"/>
        <w:rPr>
          <w:rFonts w:hint="eastAsia"/>
          <w:color w:val="auto"/>
          <w:highlight w:val="none"/>
          <w:lang w:val="en-US" w:eastAsia="zh-CN"/>
        </w:rPr>
      </w:pPr>
      <w:r>
        <w:rPr>
          <w:rFonts w:hint="eastAsia"/>
          <w:color w:val="auto"/>
          <w:highlight w:val="none"/>
          <w:lang w:val="en-US" w:eastAsia="zh-CN"/>
        </w:rPr>
        <w:t>2024年中央补助地方博物馆纪念馆逐步免费开放专项资金用于6个展厅及满汗王府旧址陈列展厅日常维护，发放3个聘用人员工资及社保，开展5.18及流动博物馆活动，实现全年免费开放达到丰富群众文化知识，培养青少年的爱国主义情操，不断弘扬传承优秀传统文化，大力培育社会主义核心价值观，有效保障各族群众精神文化需求，促进社会和谐稳定的成效。</w:t>
      </w:r>
    </w:p>
    <w:p w14:paraId="5837162E">
      <w:pPr>
        <w:pStyle w:val="4"/>
        <w:ind w:firstLine="562"/>
        <w:rPr>
          <w:color w:val="auto"/>
          <w:highlight w:val="none"/>
        </w:rPr>
      </w:pPr>
      <w:r>
        <w:rPr>
          <w:rFonts w:hint="eastAsia"/>
          <w:color w:val="auto"/>
          <w:highlight w:val="none"/>
        </w:rPr>
        <w:t>2.主要内容</w:t>
      </w:r>
    </w:p>
    <w:p w14:paraId="700FD1C6">
      <w:pPr>
        <w:spacing w:line="360" w:lineRule="auto"/>
        <w:ind w:firstLine="600"/>
        <w:rPr>
          <w:rFonts w:hint="eastAsia"/>
          <w:color w:val="auto"/>
          <w:highlight w:val="none"/>
          <w:lang w:val="en-US" w:eastAsia="zh-CN"/>
        </w:rPr>
      </w:pPr>
      <w:r>
        <w:rPr>
          <w:rFonts w:hint="eastAsia"/>
          <w:color w:val="auto"/>
          <w:highlight w:val="none"/>
          <w:lang w:val="en-US" w:eastAsia="zh-CN"/>
        </w:rPr>
        <w:t>项目主要内容：2024年中央补助地方博物馆纪念馆逐步免费开放专项资金用于6个展厅及满汗王府旧址陈列展厅日常维护，发放3个聘用人员工资及社保，开展5.18及流动博物馆活动，实现全年免费开放达到丰富群众文化知识，培养青少年的爱国主义情操，不断弘扬传承优秀传统文化，大力培育社会主义核心价值观，有效保障各族群众精神文化需求，促进社会和谐稳定的成效。</w:t>
      </w:r>
    </w:p>
    <w:p w14:paraId="4CD9DFCF">
      <w:pPr>
        <w:spacing w:line="360" w:lineRule="auto"/>
        <w:ind w:firstLine="600"/>
        <w:rPr>
          <w:rFonts w:hint="eastAsia"/>
          <w:color w:val="auto"/>
          <w:highlight w:val="none"/>
          <w:lang w:val="en-US" w:eastAsia="zh-CN"/>
        </w:rPr>
      </w:pPr>
      <w:r>
        <w:rPr>
          <w:rFonts w:hint="eastAsia"/>
          <w:color w:val="auto"/>
          <w:highlight w:val="none"/>
          <w:lang w:val="en-US" w:eastAsia="zh-CN"/>
        </w:rPr>
        <w:t>项目实施情况：截止到2024年12月，经费已完成一家场馆运行免费开放350天，开展纪念日及教育活动65场开展活动及时率达100%展厅日常维护及经费活动12.84万元，发放聘用人员工资及社保16.98万元。培养青少年的爱国主义情操，不断弘扬传承优秀传统文化，大力培育社会主义核心价值观，有效保障各族群众精神文化需求，促进社会和谐稳定的成效。免费开放工作按计划完成，参观者及工作人员满意度达96%。项目目前已经完成实际设立的目标，项目在实施过程中严格按照目标设立的各阶段任务进行开展工作，在前期立项过程中严格把质量关，建立安全防护机制，保证项目实施各阶段安全顺利进行。</w:t>
      </w:r>
    </w:p>
    <w:p w14:paraId="405DB682">
      <w:pPr>
        <w:pStyle w:val="4"/>
        <w:ind w:firstLine="562"/>
        <w:jc w:val="left"/>
        <w:rPr>
          <w:color w:val="auto"/>
          <w:highlight w:val="none"/>
        </w:rPr>
      </w:pPr>
      <w:r>
        <w:rPr>
          <w:rFonts w:hint="eastAsia"/>
          <w:color w:val="auto"/>
          <w:highlight w:val="none"/>
        </w:rPr>
        <w:t>3.实施情况</w:t>
      </w:r>
    </w:p>
    <w:p w14:paraId="0187BC88">
      <w:pPr>
        <w:spacing w:line="360" w:lineRule="auto"/>
        <w:ind w:firstLine="600"/>
        <w:rPr>
          <w:color w:val="auto"/>
          <w:highlight w:val="none"/>
        </w:rPr>
      </w:pPr>
      <w:r>
        <w:rPr>
          <w:rFonts w:hint="eastAsia"/>
          <w:color w:val="auto"/>
          <w:highlight w:val="none"/>
          <w:lang w:val="en-US" w:eastAsia="zh-CN"/>
        </w:rPr>
        <w:t>项目</w:t>
      </w:r>
      <w:r>
        <w:rPr>
          <w:color w:val="auto"/>
          <w:highlight w:val="none"/>
        </w:rPr>
        <w:t>实施主体：</w:t>
      </w:r>
      <w:r>
        <w:rPr>
          <w:rFonts w:hint="eastAsia"/>
          <w:color w:val="auto"/>
          <w:highlight w:val="none"/>
          <w:lang w:val="en-US" w:eastAsia="zh-CN"/>
        </w:rPr>
        <w:t>和静县东归博物馆(和静县文物管理所）。</w:t>
      </w:r>
    </w:p>
    <w:p w14:paraId="62A20504">
      <w:pPr>
        <w:ind w:firstLine="560"/>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lang w:eastAsia="zh-CN"/>
        </w:rPr>
        <w:t>202</w:t>
      </w:r>
      <w:r>
        <w:rPr>
          <w:rFonts w:hint="eastAsia" w:cs="仿宋_GB2312"/>
          <w:color w:val="auto"/>
          <w:highlight w:val="none"/>
          <w:lang w:val="en-US" w:eastAsia="zh-CN"/>
        </w:rPr>
        <w:t>4</w:t>
      </w:r>
      <w:r>
        <w:rPr>
          <w:rFonts w:hint="eastAsia" w:cs="仿宋_GB2312"/>
          <w:color w:val="auto"/>
          <w:highlight w:val="none"/>
          <w:lang w:eastAsia="zh-CN"/>
        </w:rPr>
        <w:t>年</w:t>
      </w:r>
      <w:r>
        <w:rPr>
          <w:rFonts w:hint="eastAsia" w:cs="仿宋_GB2312"/>
          <w:color w:val="auto"/>
          <w:highlight w:val="none"/>
          <w:lang w:val="en-US" w:eastAsia="zh-CN"/>
        </w:rPr>
        <w:t>1</w:t>
      </w:r>
      <w:r>
        <w:rPr>
          <w:rFonts w:hint="eastAsia" w:cs="仿宋_GB2312"/>
          <w:color w:val="auto"/>
          <w:highlight w:val="none"/>
        </w:rPr>
        <w:t>月—</w:t>
      </w:r>
      <w:r>
        <w:rPr>
          <w:rFonts w:hint="eastAsia" w:cs="仿宋_GB2312"/>
          <w:color w:val="auto"/>
          <w:highlight w:val="none"/>
          <w:lang w:eastAsia="zh-CN"/>
        </w:rPr>
        <w:t>202</w:t>
      </w:r>
      <w:r>
        <w:rPr>
          <w:rFonts w:hint="eastAsia" w:cs="仿宋_GB2312"/>
          <w:color w:val="auto"/>
          <w:highlight w:val="none"/>
          <w:lang w:val="en-US" w:eastAsia="zh-CN"/>
        </w:rPr>
        <w:t>4</w:t>
      </w:r>
      <w:r>
        <w:rPr>
          <w:rFonts w:hint="eastAsia" w:cs="仿宋_GB2312"/>
          <w:color w:val="auto"/>
          <w:highlight w:val="none"/>
          <w:lang w:eastAsia="zh-CN"/>
        </w:rPr>
        <w:t>年</w:t>
      </w:r>
      <w:r>
        <w:rPr>
          <w:rFonts w:hint="eastAsia" w:cs="仿宋_GB2312"/>
          <w:color w:val="auto"/>
          <w:highlight w:val="none"/>
          <w:lang w:val="en-US" w:eastAsia="zh-CN"/>
        </w:rPr>
        <w:t>12</w:t>
      </w:r>
      <w:r>
        <w:rPr>
          <w:rFonts w:hint="eastAsia" w:cs="仿宋_GB2312"/>
          <w:color w:val="auto"/>
          <w:highlight w:val="none"/>
        </w:rPr>
        <w:t>月</w:t>
      </w:r>
      <w:r>
        <w:rPr>
          <w:color w:val="auto"/>
          <w:highlight w:val="none"/>
        </w:rPr>
        <w:t>。</w:t>
      </w:r>
    </w:p>
    <w:p w14:paraId="197C82CE">
      <w:pPr>
        <w:ind w:firstLine="560"/>
        <w:rPr>
          <w:rFonts w:hint="eastAsia"/>
          <w:color w:val="auto"/>
          <w:highlight w:val="none"/>
        </w:rPr>
      </w:pPr>
      <w:r>
        <w:rPr>
          <w:color w:val="auto"/>
          <w:highlight w:val="none"/>
        </w:rPr>
        <w:t>实施</w:t>
      </w:r>
      <w:r>
        <w:rPr>
          <w:rFonts w:hint="eastAsia"/>
          <w:color w:val="auto"/>
          <w:highlight w:val="none"/>
        </w:rPr>
        <w:t>情况</w:t>
      </w:r>
      <w:r>
        <w:rPr>
          <w:color w:val="auto"/>
          <w:highlight w:val="none"/>
        </w:rPr>
        <w:t>：</w:t>
      </w:r>
      <w:r>
        <w:rPr>
          <w:rFonts w:hint="eastAsia"/>
          <w:color w:val="auto"/>
          <w:highlight w:val="none"/>
        </w:rPr>
        <w:t>截止到2024年12月，经费已完成一家场馆运行免费开放350天，开展纪念日及教育活动65场开展活动及时率达</w:t>
      </w:r>
      <w:r>
        <w:rPr>
          <w:rFonts w:hint="eastAsia"/>
          <w:color w:val="auto"/>
          <w:highlight w:val="none"/>
          <w:lang w:val="en-US" w:eastAsia="zh-CN"/>
        </w:rPr>
        <w:t>100</w:t>
      </w:r>
      <w:r>
        <w:rPr>
          <w:rFonts w:hint="eastAsia"/>
          <w:color w:val="auto"/>
          <w:highlight w:val="none"/>
        </w:rPr>
        <w:t>%</w:t>
      </w:r>
      <w:r>
        <w:rPr>
          <w:rFonts w:hint="eastAsia"/>
          <w:color w:val="auto"/>
          <w:highlight w:val="none"/>
          <w:lang w:eastAsia="zh-CN"/>
        </w:rPr>
        <w:t>展厅日常维护及经费活动12.84万元</w:t>
      </w:r>
      <w:r>
        <w:rPr>
          <w:rFonts w:hint="eastAsia"/>
          <w:color w:val="auto"/>
          <w:highlight w:val="none"/>
        </w:rPr>
        <w:t>，发放聘用人员工资及社保16.98万元。培养青少年的爱国主义情操，不断弘扬传承优秀传统文化，大力培育社会主义核心价值观，有效保障各族群众精神文化需求，促进社会和谐稳定的成效。免费开放工作按计划完成，参观者及工作人员满意度达9</w:t>
      </w:r>
      <w:r>
        <w:rPr>
          <w:rFonts w:hint="eastAsia"/>
          <w:color w:val="auto"/>
          <w:highlight w:val="none"/>
          <w:lang w:val="en-US" w:eastAsia="zh-CN"/>
        </w:rPr>
        <w:t>6</w:t>
      </w:r>
      <w:r>
        <w:rPr>
          <w:rFonts w:hint="eastAsia"/>
          <w:color w:val="auto"/>
          <w:highlight w:val="none"/>
        </w:rPr>
        <w:t>%。</w:t>
      </w:r>
    </w:p>
    <w:p w14:paraId="00FD6901">
      <w:pPr>
        <w:pStyle w:val="4"/>
        <w:ind w:firstLine="562"/>
        <w:rPr>
          <w:color w:val="auto"/>
          <w:highlight w:val="none"/>
        </w:rPr>
      </w:pPr>
      <w:r>
        <w:rPr>
          <w:rFonts w:hint="eastAsia"/>
          <w:color w:val="auto"/>
          <w:highlight w:val="none"/>
        </w:rPr>
        <w:t>4.资金投入和使用情况</w:t>
      </w:r>
    </w:p>
    <w:p w14:paraId="4EED80E3">
      <w:pPr>
        <w:ind w:firstLine="560"/>
        <w:rPr>
          <w:color w:val="auto"/>
          <w:highlight w:val="none"/>
        </w:rPr>
      </w:pPr>
      <w:r>
        <w:rPr>
          <w:rFonts w:hint="eastAsia"/>
          <w:color w:val="auto"/>
          <w:highlight w:val="none"/>
        </w:rPr>
        <w:t>（1）项目资金安排落实、总投入等情况分析</w:t>
      </w:r>
    </w:p>
    <w:p w14:paraId="4A25E755">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30</w:t>
      </w:r>
      <w:r>
        <w:rPr>
          <w:color w:val="auto"/>
          <w:highlight w:val="none"/>
        </w:rPr>
        <w:t>万元，</w:t>
      </w:r>
      <w:r>
        <w:rPr>
          <w:rFonts w:hint="eastAsia"/>
          <w:color w:val="auto"/>
          <w:highlight w:val="none"/>
        </w:rPr>
        <w:t>资金来源为中央专项资金</w:t>
      </w:r>
      <w:r>
        <w:rPr>
          <w:rFonts w:hint="eastAsia"/>
          <w:color w:val="auto"/>
          <w:highlight w:val="none"/>
          <w:lang w:eastAsia="zh-CN"/>
        </w:rPr>
        <w:t>，</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30</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30</w:t>
      </w:r>
      <w:r>
        <w:rPr>
          <w:color w:val="auto"/>
          <w:highlight w:val="none"/>
        </w:rPr>
        <w:t>万元，预算资金到位率为</w:t>
      </w:r>
      <w:r>
        <w:rPr>
          <w:rFonts w:hint="eastAsia"/>
          <w:color w:val="auto"/>
          <w:highlight w:val="none"/>
          <w:lang w:val="en-US" w:eastAsia="zh-CN"/>
        </w:rPr>
        <w:t>100</w:t>
      </w:r>
      <w:r>
        <w:rPr>
          <w:color w:val="auto"/>
          <w:highlight w:val="none"/>
        </w:rPr>
        <w:t>%。</w:t>
      </w:r>
    </w:p>
    <w:p w14:paraId="4C13151D">
      <w:pPr>
        <w:ind w:firstLine="560"/>
        <w:rPr>
          <w:color w:val="auto"/>
          <w:highlight w:val="none"/>
        </w:rPr>
      </w:pPr>
      <w:r>
        <w:rPr>
          <w:rFonts w:hint="eastAsia"/>
          <w:color w:val="auto"/>
          <w:highlight w:val="none"/>
        </w:rPr>
        <w:t>（2）项目资金实际使用情况分析</w:t>
      </w:r>
    </w:p>
    <w:p w14:paraId="6588CDEE">
      <w:pPr>
        <w:ind w:firstLine="560"/>
        <w:rPr>
          <w:color w:val="auto"/>
          <w:highlight w:val="none"/>
        </w:rPr>
      </w:pPr>
      <w:r>
        <w:rPr>
          <w:rFonts w:hint="eastAsia"/>
          <w:color w:val="auto"/>
          <w:highlight w:val="none"/>
          <w:lang w:val="en-US" w:eastAsia="zh-CN"/>
        </w:rPr>
        <w:t>截至2024年12月31日，本项目实际支出29.82万元</w:t>
      </w:r>
      <w:r>
        <w:rPr>
          <w:rFonts w:hint="eastAsia"/>
          <w:color w:val="auto"/>
          <w:highlight w:val="none"/>
        </w:rPr>
        <w:t>，预算执行率</w:t>
      </w:r>
      <w:r>
        <w:rPr>
          <w:rFonts w:hint="eastAsia"/>
          <w:color w:val="auto"/>
          <w:highlight w:val="none"/>
          <w:lang w:val="en-US" w:eastAsia="zh-CN"/>
        </w:rPr>
        <w:t>99.4</w:t>
      </w:r>
      <w:r>
        <w:rPr>
          <w:color w:val="auto"/>
          <w:highlight w:val="none"/>
        </w:rPr>
        <w:t>%</w:t>
      </w:r>
      <w:r>
        <w:rPr>
          <w:rFonts w:hint="eastAsia"/>
          <w:color w:val="auto"/>
          <w:highlight w:val="none"/>
          <w:lang w:eastAsia="zh-CN"/>
        </w:rPr>
        <w:t>，</w:t>
      </w:r>
      <w:r>
        <w:rPr>
          <w:rFonts w:hint="eastAsia"/>
          <w:color w:val="auto"/>
          <w:highlight w:val="none"/>
        </w:rPr>
        <w:t>结余资金额</w:t>
      </w:r>
      <w:r>
        <w:rPr>
          <w:rFonts w:hint="eastAsia"/>
          <w:color w:val="auto"/>
          <w:highlight w:val="none"/>
          <w:lang w:val="en-US" w:eastAsia="zh-CN"/>
        </w:rPr>
        <w:t>0.18万元</w:t>
      </w:r>
      <w:r>
        <w:rPr>
          <w:rFonts w:hint="eastAsia"/>
          <w:color w:val="auto"/>
          <w:highlight w:val="none"/>
        </w:rPr>
        <w:t>。本项目资金主要用于支付开展活动及</w:t>
      </w:r>
      <w:r>
        <w:rPr>
          <w:rFonts w:hint="eastAsia"/>
          <w:color w:val="auto"/>
          <w:highlight w:val="none"/>
          <w:lang w:eastAsia="zh-CN"/>
        </w:rPr>
        <w:t>运转展厅日常维护及经费活动12.84万元</w:t>
      </w:r>
      <w:r>
        <w:rPr>
          <w:rFonts w:hint="eastAsia"/>
          <w:color w:val="auto"/>
          <w:highlight w:val="none"/>
        </w:rPr>
        <w:t>，发放聘用人员工资及社保16.98万元。</w:t>
      </w:r>
    </w:p>
    <w:p w14:paraId="02C8619D">
      <w:pPr>
        <w:pStyle w:val="3"/>
        <w:numPr>
          <w:ilvl w:val="0"/>
          <w:numId w:val="2"/>
        </w:numPr>
        <w:ind w:firstLine="643"/>
        <w:rPr>
          <w:color w:val="auto"/>
          <w:highlight w:val="none"/>
        </w:rPr>
      </w:pPr>
      <w:r>
        <w:rPr>
          <w:rFonts w:hint="eastAsia"/>
          <w:color w:val="auto"/>
          <w:highlight w:val="none"/>
        </w:rPr>
        <w:t>项目绩效目标</w:t>
      </w:r>
    </w:p>
    <w:p w14:paraId="7023B7DE">
      <w:pPr>
        <w:pStyle w:val="4"/>
        <w:ind w:firstLine="562"/>
        <w:rPr>
          <w:color w:val="auto"/>
          <w:highlight w:val="none"/>
        </w:rPr>
      </w:pPr>
      <w:r>
        <w:rPr>
          <w:rFonts w:hint="eastAsia"/>
          <w:color w:val="auto"/>
          <w:highlight w:val="none"/>
        </w:rPr>
        <w:t>1.总体目标</w:t>
      </w:r>
    </w:p>
    <w:p w14:paraId="769AE3FC">
      <w:pPr>
        <w:pStyle w:val="4"/>
        <w:ind w:firstLine="562"/>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贯彻落实党中央、自治区党委关于加强文物工作要求，紧紧围绕社会稳定和长治久安总目标，以发掘、保护、研究、利用为重点，充分发挥博物馆纪念馆在提高群众鉴赏能力、提高各族群众思想道德和科学文化素质的作用，不断强化文物工作的实证史证作用和宣传教育功能，不断弘扬传承优秀传统文化，大力培育社会主义核心价值观，有效保障各族群众精神文化需求，促进社会和谐稳定。</w:t>
      </w:r>
    </w:p>
    <w:p w14:paraId="320DB9AE">
      <w:pPr>
        <w:pStyle w:val="4"/>
        <w:ind w:firstLine="562"/>
        <w:rPr>
          <w:color w:val="auto"/>
          <w:highlight w:val="none"/>
        </w:rPr>
      </w:pPr>
      <w:r>
        <w:rPr>
          <w:rFonts w:hint="eastAsia"/>
          <w:color w:val="auto"/>
          <w:highlight w:val="none"/>
        </w:rPr>
        <w:t>2.阶段性目标</w:t>
      </w:r>
    </w:p>
    <w:p w14:paraId="0E2833FB">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进行了进一步的完善，完善后绩效</w:t>
      </w:r>
      <w:r>
        <w:rPr>
          <w:rFonts w:hint="eastAsia"/>
          <w:color w:val="auto"/>
          <w:highlight w:val="none"/>
          <w:lang w:eastAsia="zh-CN"/>
        </w:rPr>
        <w:t>指标</w:t>
      </w:r>
      <w:r>
        <w:rPr>
          <w:rFonts w:hint="eastAsia"/>
          <w:color w:val="auto"/>
          <w:highlight w:val="none"/>
        </w:rPr>
        <w:t>如下：</w:t>
      </w:r>
    </w:p>
    <w:p w14:paraId="744A7699">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14:paraId="29785EEB">
      <w:pPr>
        <w:ind w:firstLine="560"/>
        <w:rPr>
          <w:color w:val="auto"/>
          <w:highlight w:val="none"/>
        </w:rPr>
      </w:pPr>
      <w:r>
        <w:rPr>
          <w:rFonts w:hint="eastAsia"/>
          <w:color w:val="auto"/>
          <w:highlight w:val="none"/>
        </w:rPr>
        <w:t>①数量指标</w:t>
      </w:r>
    </w:p>
    <w:p w14:paraId="5FA03073">
      <w:pPr>
        <w:ind w:firstLine="560"/>
        <w:rPr>
          <w:rFonts w:hint="eastAsia"/>
          <w:color w:val="auto"/>
          <w:highlight w:val="none"/>
          <w:lang w:val="en-US" w:eastAsia="zh-CN"/>
        </w:rPr>
      </w:pPr>
      <w:r>
        <w:rPr>
          <w:rFonts w:hint="eastAsia"/>
          <w:color w:val="auto"/>
          <w:highlight w:val="none"/>
          <w:lang w:val="en-US" w:eastAsia="zh-CN"/>
        </w:rPr>
        <w:t>“经费运行场馆”指标，预期指标值为=1家。</w:t>
      </w:r>
    </w:p>
    <w:p w14:paraId="6F52CBF8">
      <w:pPr>
        <w:ind w:firstLine="560"/>
        <w:rPr>
          <w:color w:val="auto"/>
          <w:highlight w:val="none"/>
        </w:rPr>
      </w:pPr>
      <w:r>
        <w:rPr>
          <w:rFonts w:hint="eastAsia"/>
          <w:color w:val="auto"/>
          <w:highlight w:val="none"/>
          <w:lang w:val="en-US" w:eastAsia="zh-CN"/>
        </w:rPr>
        <w:t>“开展纪念日及教育活动”指标，预期指标值为≥60场/次。</w:t>
      </w:r>
    </w:p>
    <w:p w14:paraId="4D30DAA4">
      <w:pPr>
        <w:ind w:firstLine="560"/>
        <w:rPr>
          <w:color w:val="auto"/>
          <w:highlight w:val="none"/>
        </w:rPr>
      </w:pPr>
      <w:r>
        <w:rPr>
          <w:rFonts w:hint="eastAsia"/>
          <w:color w:val="auto"/>
          <w:highlight w:val="none"/>
        </w:rPr>
        <w:t>②质量指标</w:t>
      </w:r>
    </w:p>
    <w:p w14:paraId="305F609A">
      <w:pPr>
        <w:ind w:firstLine="560"/>
        <w:rPr>
          <w:rFonts w:hint="eastAsia"/>
          <w:color w:val="auto"/>
          <w:highlight w:val="none"/>
          <w:lang w:val="en-US" w:eastAsia="zh-CN"/>
        </w:rPr>
      </w:pPr>
      <w:r>
        <w:rPr>
          <w:rFonts w:hint="eastAsia"/>
          <w:color w:val="auto"/>
          <w:highlight w:val="none"/>
          <w:lang w:val="en-US" w:eastAsia="zh-CN"/>
        </w:rPr>
        <w:t>“免费开放绩效考评率”指标，预期指标值为≥95%。</w:t>
      </w:r>
    </w:p>
    <w:p w14:paraId="05F3B086">
      <w:pPr>
        <w:ind w:firstLine="560"/>
        <w:rPr>
          <w:color w:val="auto"/>
          <w:highlight w:val="none"/>
        </w:rPr>
      </w:pPr>
      <w:r>
        <w:rPr>
          <w:rFonts w:hint="eastAsia"/>
          <w:color w:val="auto"/>
          <w:highlight w:val="none"/>
          <w:lang w:val="en-US" w:eastAsia="zh-CN"/>
        </w:rPr>
        <w:t>“活动开展率”指标，预期指标值为≥95%。</w:t>
      </w:r>
    </w:p>
    <w:p w14:paraId="30C87F30">
      <w:pPr>
        <w:ind w:firstLine="560"/>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14:paraId="62DD843C">
      <w:pPr>
        <w:ind w:firstLine="560"/>
        <w:rPr>
          <w:color w:val="auto"/>
          <w:highlight w:val="none"/>
        </w:rPr>
      </w:pPr>
      <w:r>
        <w:rPr>
          <w:rFonts w:hint="eastAsia"/>
          <w:color w:val="auto"/>
          <w:highlight w:val="none"/>
        </w:rPr>
        <w:t>“全年免费开放天数”指标，预期指标值为≥330天</w:t>
      </w:r>
      <w:r>
        <w:rPr>
          <w:rFonts w:hint="eastAsia"/>
          <w:color w:val="auto"/>
          <w:highlight w:val="none"/>
          <w:lang w:val="en-US" w:eastAsia="zh-CN"/>
        </w:rPr>
        <w:t>。</w:t>
      </w:r>
    </w:p>
    <w:p w14:paraId="09765327">
      <w:pPr>
        <w:ind w:firstLine="560"/>
        <w:rPr>
          <w:rFonts w:hint="eastAsia" w:eastAsia="仿宋_GB2312"/>
          <w:color w:val="auto"/>
          <w:highlight w:val="none"/>
          <w:lang w:eastAsia="zh-CN"/>
        </w:rPr>
      </w:pPr>
      <w:r>
        <w:rPr>
          <w:rFonts w:hint="eastAsia"/>
          <w:color w:val="auto"/>
          <w:highlight w:val="none"/>
        </w:rPr>
        <w:t>“活动开展及时率”指标，预期指标值为≥95%</w:t>
      </w:r>
      <w:r>
        <w:rPr>
          <w:rFonts w:hint="eastAsia"/>
          <w:color w:val="auto"/>
          <w:highlight w:val="none"/>
          <w:lang w:eastAsia="zh-CN"/>
        </w:rPr>
        <w:t>。</w:t>
      </w:r>
    </w:p>
    <w:p w14:paraId="21929397">
      <w:pPr>
        <w:ind w:firstLine="560"/>
        <w:rPr>
          <w:color w:val="auto"/>
          <w:highlight w:val="none"/>
        </w:rPr>
      </w:pPr>
      <w:r>
        <w:rPr>
          <w:rFonts w:hint="eastAsia"/>
          <w:color w:val="auto"/>
          <w:highlight w:val="none"/>
        </w:rPr>
        <w:t>④成本指标</w:t>
      </w:r>
    </w:p>
    <w:p w14:paraId="12D6962B">
      <w:pPr>
        <w:ind w:firstLine="560"/>
        <w:rPr>
          <w:color w:val="auto"/>
          <w:highlight w:val="none"/>
        </w:rPr>
      </w:pPr>
      <w:r>
        <w:rPr>
          <w:rFonts w:hint="eastAsia"/>
          <w:color w:val="auto"/>
          <w:highlight w:val="none"/>
        </w:rPr>
        <w:t>“聘用人员工资及社保”指标，预期指标值为&lt;=</w:t>
      </w:r>
      <w:r>
        <w:rPr>
          <w:rFonts w:hint="eastAsia"/>
          <w:color w:val="auto"/>
          <w:highlight w:val="none"/>
          <w:lang w:val="en-US" w:eastAsia="zh-CN"/>
        </w:rPr>
        <w:t>17万元</w:t>
      </w:r>
      <w:r>
        <w:rPr>
          <w:rFonts w:hint="eastAsia"/>
          <w:color w:val="auto"/>
          <w:highlight w:val="none"/>
        </w:rPr>
        <w:t>；</w:t>
      </w:r>
    </w:p>
    <w:p w14:paraId="314A1A63">
      <w:pPr>
        <w:ind w:firstLine="560"/>
        <w:rPr>
          <w:color w:val="auto"/>
          <w:highlight w:val="none"/>
        </w:rPr>
      </w:pPr>
      <w:r>
        <w:rPr>
          <w:rFonts w:hint="eastAsia"/>
          <w:color w:val="auto"/>
          <w:highlight w:val="none"/>
        </w:rPr>
        <w:t>“展厅日常维护及经费活动”指标，预期指标值为&lt;=</w:t>
      </w:r>
      <w:r>
        <w:rPr>
          <w:rFonts w:hint="eastAsia"/>
          <w:color w:val="auto"/>
          <w:highlight w:val="none"/>
          <w:lang w:val="en-US" w:eastAsia="zh-CN"/>
        </w:rPr>
        <w:t>13万元</w:t>
      </w:r>
      <w:r>
        <w:rPr>
          <w:rFonts w:hint="eastAsia"/>
          <w:color w:val="auto"/>
          <w:highlight w:val="none"/>
        </w:rPr>
        <w:t>；</w:t>
      </w:r>
    </w:p>
    <w:p w14:paraId="4893919F">
      <w:pPr>
        <w:ind w:firstLine="560"/>
        <w:rPr>
          <w:rFonts w:hint="eastAsia" w:eastAsia="仿宋_GB2312"/>
          <w:color w:val="auto"/>
          <w:highlight w:val="none"/>
          <w:lang w:eastAsia="zh-CN"/>
        </w:rPr>
      </w:pPr>
      <w:r>
        <w:rPr>
          <w:rFonts w:hint="eastAsia"/>
          <w:color w:val="auto"/>
          <w:highlight w:val="none"/>
        </w:rPr>
        <w:t>（2）项目效益</w:t>
      </w:r>
      <w:r>
        <w:rPr>
          <w:rFonts w:hint="eastAsia"/>
          <w:color w:val="auto"/>
          <w:highlight w:val="none"/>
          <w:lang w:eastAsia="zh-CN"/>
        </w:rPr>
        <w:t>指标</w:t>
      </w:r>
    </w:p>
    <w:p w14:paraId="79AF41D6">
      <w:pPr>
        <w:ind w:firstLine="560"/>
        <w:rPr>
          <w:color w:val="auto"/>
          <w:highlight w:val="none"/>
        </w:rPr>
      </w:pPr>
      <w:r>
        <w:rPr>
          <w:rFonts w:hint="eastAsia"/>
          <w:color w:val="auto"/>
          <w:highlight w:val="none"/>
        </w:rPr>
        <w:t>①经济效益指标</w:t>
      </w:r>
    </w:p>
    <w:p w14:paraId="79120169">
      <w:pPr>
        <w:ind w:firstLine="560"/>
        <w:rPr>
          <w:color w:val="auto"/>
          <w:highlight w:val="none"/>
        </w:rPr>
      </w:pPr>
      <w:r>
        <w:rPr>
          <w:rFonts w:hint="eastAsia"/>
          <w:color w:val="auto"/>
          <w:highlight w:val="none"/>
          <w:lang w:val="en-US" w:eastAsia="zh-CN"/>
        </w:rPr>
        <w:t>无</w:t>
      </w:r>
      <w:r>
        <w:rPr>
          <w:rFonts w:hint="eastAsia"/>
          <w:color w:val="auto"/>
          <w:highlight w:val="none"/>
        </w:rPr>
        <w:t>；</w:t>
      </w:r>
    </w:p>
    <w:p w14:paraId="0F30F796">
      <w:pPr>
        <w:ind w:firstLine="560"/>
        <w:rPr>
          <w:color w:val="auto"/>
          <w:highlight w:val="none"/>
        </w:rPr>
      </w:pPr>
      <w:r>
        <w:rPr>
          <w:rFonts w:hint="eastAsia"/>
          <w:color w:val="auto"/>
          <w:highlight w:val="none"/>
        </w:rPr>
        <w:t>②社会效益指标</w:t>
      </w:r>
    </w:p>
    <w:p w14:paraId="76480D75">
      <w:pPr>
        <w:ind w:firstLine="560"/>
        <w:rPr>
          <w:color w:val="auto"/>
          <w:highlight w:val="none"/>
        </w:rPr>
      </w:pPr>
      <w:r>
        <w:rPr>
          <w:rFonts w:hint="eastAsia"/>
          <w:color w:val="auto"/>
          <w:highlight w:val="none"/>
        </w:rPr>
        <w:t>“丰富群众文化知识，培养青少年的爱国主义情操，弘扬中华民族传统文化”指标，预期指标值为有效提高；</w:t>
      </w:r>
    </w:p>
    <w:p w14:paraId="7D734684">
      <w:pPr>
        <w:ind w:firstLine="560"/>
        <w:rPr>
          <w:color w:val="auto"/>
          <w:highlight w:val="none"/>
        </w:rPr>
      </w:pPr>
      <w:r>
        <w:rPr>
          <w:rFonts w:hint="eastAsia"/>
          <w:color w:val="auto"/>
          <w:highlight w:val="none"/>
        </w:rPr>
        <w:t>③生态效益指标</w:t>
      </w:r>
    </w:p>
    <w:p w14:paraId="793F09AD">
      <w:pPr>
        <w:ind w:firstLine="560"/>
        <w:rPr>
          <w:rFonts w:hint="eastAsia"/>
          <w:color w:val="auto"/>
          <w:highlight w:val="none"/>
        </w:rPr>
      </w:pPr>
      <w:r>
        <w:rPr>
          <w:rFonts w:hint="eastAsia"/>
          <w:color w:val="auto"/>
          <w:highlight w:val="none"/>
          <w:lang w:val="en-US" w:eastAsia="zh-CN"/>
        </w:rPr>
        <w:t>无</w:t>
      </w:r>
      <w:r>
        <w:rPr>
          <w:rFonts w:hint="eastAsia"/>
          <w:color w:val="auto"/>
          <w:highlight w:val="none"/>
        </w:rPr>
        <w:t>；</w:t>
      </w:r>
    </w:p>
    <w:p w14:paraId="3C5D245D">
      <w:pPr>
        <w:ind w:firstLine="560"/>
        <w:rPr>
          <w:color w:val="auto"/>
          <w:highlight w:val="none"/>
        </w:rPr>
      </w:pPr>
      <w:r>
        <w:rPr>
          <w:rFonts w:hint="eastAsia"/>
          <w:color w:val="auto"/>
          <w:highlight w:val="none"/>
        </w:rPr>
        <w:t>④可持续影响</w:t>
      </w:r>
    </w:p>
    <w:p w14:paraId="2B4E0F06">
      <w:pPr>
        <w:ind w:firstLine="560"/>
        <w:rPr>
          <w:color w:val="auto"/>
          <w:highlight w:val="none"/>
        </w:rPr>
      </w:pPr>
      <w:r>
        <w:rPr>
          <w:rFonts w:hint="eastAsia"/>
          <w:color w:val="auto"/>
          <w:highlight w:val="none"/>
          <w:lang w:val="en-US" w:eastAsia="zh-CN"/>
        </w:rPr>
        <w:t>无</w:t>
      </w:r>
      <w:r>
        <w:rPr>
          <w:rFonts w:hint="eastAsia"/>
          <w:color w:val="auto"/>
          <w:highlight w:val="none"/>
        </w:rPr>
        <w:t>；</w:t>
      </w:r>
    </w:p>
    <w:p w14:paraId="007B6FF3">
      <w:pPr>
        <w:ind w:firstLine="560"/>
        <w:rPr>
          <w:color w:val="auto"/>
          <w:highlight w:val="none"/>
        </w:rPr>
      </w:pPr>
      <w:r>
        <w:rPr>
          <w:rFonts w:hint="eastAsia"/>
          <w:color w:val="auto"/>
          <w:highlight w:val="none"/>
          <w:lang w:val="en-US" w:eastAsia="zh-CN"/>
        </w:rPr>
        <w:t>⑤</w:t>
      </w:r>
      <w:r>
        <w:rPr>
          <w:rFonts w:hint="eastAsia"/>
          <w:color w:val="auto"/>
          <w:highlight w:val="none"/>
        </w:rPr>
        <w:t>满意度指标</w:t>
      </w:r>
    </w:p>
    <w:p w14:paraId="0ADFEC2E">
      <w:pPr>
        <w:ind w:firstLine="560"/>
        <w:rPr>
          <w:color w:val="auto"/>
          <w:highlight w:val="none"/>
        </w:rPr>
      </w:pPr>
      <w:r>
        <w:rPr>
          <w:rFonts w:hint="eastAsia"/>
          <w:color w:val="auto"/>
          <w:highlight w:val="none"/>
        </w:rPr>
        <w:t>“参观者及工作人员满意度”指标，预期指标值为≥95%；</w:t>
      </w:r>
    </w:p>
    <w:p w14:paraId="08364C0E">
      <w:pPr>
        <w:pStyle w:val="2"/>
        <w:ind w:firstLine="643"/>
        <w:rPr>
          <w:color w:val="auto"/>
          <w:highlight w:val="none"/>
        </w:rPr>
      </w:pPr>
      <w:r>
        <w:rPr>
          <w:rFonts w:hint="eastAsia"/>
          <w:color w:val="auto"/>
          <w:highlight w:val="none"/>
        </w:rPr>
        <w:t>二、绩效评价工作开展情况</w:t>
      </w:r>
    </w:p>
    <w:p w14:paraId="6DB731F7">
      <w:pPr>
        <w:pStyle w:val="3"/>
        <w:ind w:firstLine="643"/>
        <w:rPr>
          <w:color w:val="auto"/>
          <w:highlight w:val="none"/>
        </w:rPr>
      </w:pPr>
      <w:bookmarkStart w:id="0" w:name="_Toc22169_WPSOffice_Level2"/>
      <w:bookmarkStart w:id="1" w:name="_Toc26632"/>
      <w:bookmarkStart w:id="2" w:name="_Toc5258"/>
      <w:bookmarkStart w:id="3" w:name="_Toc21664"/>
      <w:bookmarkStart w:id="4" w:name="_Toc5462343"/>
      <w:bookmarkStart w:id="5" w:name="_Toc480473081"/>
      <w:bookmarkStart w:id="6" w:name="_Toc12868"/>
      <w:bookmarkStart w:id="7" w:name="_Toc22922"/>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14:paraId="4D107E33">
      <w:pPr>
        <w:pStyle w:val="4"/>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14:paraId="43051E7F">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lang w:eastAsia="zh-CN"/>
        </w:rPr>
        <w:t>我</w:t>
      </w:r>
      <w:r>
        <w:rPr>
          <w:rFonts w:hint="eastAsia"/>
          <w:color w:val="auto"/>
          <w:highlight w:val="none"/>
        </w:rPr>
        <w:t>单位针对2024年中央补助地方博物馆纪念馆逐步免费开放专项资金项目开展本次部门项目支出绩效评价工作。通过绩效评价，促进本单位发现问题、总结经验、改进工作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旨在评价</w:t>
      </w:r>
      <w:r>
        <w:rPr>
          <w:rFonts w:hint="eastAsia"/>
          <w:color w:val="auto"/>
          <w:highlight w:val="none"/>
          <w:lang w:eastAsia="zh-CN"/>
        </w:rPr>
        <w:t>本</w:t>
      </w:r>
      <w:r>
        <w:rPr>
          <w:rFonts w:hint="eastAsia"/>
          <w:color w:val="auto"/>
          <w:highlight w:val="none"/>
        </w:rPr>
        <w:t>项目前期审批、实施过程及实施效果，促进预算管理不断完善，加快绩效目标的实现，保证财政资金有效、合理使用，具体绩效评价的目的细分如下：</w:t>
      </w:r>
    </w:p>
    <w:p w14:paraId="13461D9A">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14:paraId="35D48BF5">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6B2C1E1C">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726C80F7">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604AE50B">
      <w:pPr>
        <w:pStyle w:val="4"/>
        <w:ind w:firstLine="562"/>
        <w:rPr>
          <w:color w:val="auto"/>
          <w:highlight w:val="none"/>
        </w:rPr>
      </w:pPr>
      <w:r>
        <w:rPr>
          <w:rFonts w:hint="eastAsia"/>
          <w:color w:val="auto"/>
          <w:highlight w:val="none"/>
        </w:rPr>
        <w:t>2.绩效评价对象</w:t>
      </w:r>
    </w:p>
    <w:p w14:paraId="2914DB28">
      <w:pPr>
        <w:ind w:firstLine="560"/>
        <w:rPr>
          <w:color w:val="auto"/>
          <w:highlight w:val="none"/>
        </w:rPr>
      </w:pPr>
      <w:r>
        <w:rPr>
          <w:rFonts w:hint="eastAsia"/>
          <w:color w:val="auto"/>
          <w:highlight w:val="none"/>
        </w:rPr>
        <w:t>此次我单位根据《财政支出绩效评价管理暂行办法》（财预〔2020〕10号）文件要求实施评价工作，本次评价对象为2024年中央补助地方博物馆纪念馆逐步免费开放专项资金项目，评价核心为项目</w:t>
      </w:r>
      <w:r>
        <w:rPr>
          <w:rFonts w:hint="eastAsia"/>
          <w:color w:val="auto"/>
          <w:highlight w:val="none"/>
          <w:lang w:val="en-US" w:eastAsia="zh-CN"/>
        </w:rPr>
        <w:t>的资金投入、产出及效益</w:t>
      </w:r>
      <w:r>
        <w:rPr>
          <w:rFonts w:hint="eastAsia"/>
          <w:color w:val="auto"/>
          <w:highlight w:val="none"/>
        </w:rPr>
        <w:t>。</w:t>
      </w:r>
    </w:p>
    <w:p w14:paraId="5F5E4A4C">
      <w:pPr>
        <w:pStyle w:val="4"/>
        <w:ind w:firstLine="562"/>
        <w:rPr>
          <w:color w:val="auto"/>
          <w:highlight w:val="none"/>
        </w:rPr>
      </w:pPr>
      <w:r>
        <w:rPr>
          <w:rFonts w:hint="eastAsia"/>
          <w:color w:val="auto"/>
          <w:highlight w:val="none"/>
        </w:rPr>
        <w:t>3.绩效评价范围</w:t>
      </w:r>
    </w:p>
    <w:p w14:paraId="6C141C9B">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14:paraId="7910A22B">
      <w:pPr>
        <w:pStyle w:val="3"/>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14:paraId="4F0CF4C3">
      <w:pPr>
        <w:pStyle w:val="4"/>
        <w:ind w:firstLine="562"/>
        <w:rPr>
          <w:color w:val="auto"/>
          <w:highlight w:val="none"/>
        </w:rPr>
      </w:pPr>
      <w:r>
        <w:rPr>
          <w:rFonts w:hint="eastAsia"/>
          <w:color w:val="auto"/>
          <w:highlight w:val="none"/>
        </w:rPr>
        <w:t>1.绩效评价原则</w:t>
      </w:r>
    </w:p>
    <w:p w14:paraId="48B159E4">
      <w:pPr>
        <w:ind w:firstLine="560"/>
        <w:rPr>
          <w:color w:val="auto"/>
          <w:highlight w:val="none"/>
        </w:rPr>
      </w:pPr>
      <w:r>
        <w:rPr>
          <w:rFonts w:hint="eastAsia"/>
          <w:color w:val="auto"/>
          <w:highlight w:val="none"/>
        </w:rPr>
        <w:t>依据《中华人民共和国预算法》《中共中央国务院关于全面实施预算绩效管理的意见》（中发〔2018〕34号）《项目支出绩效评价管理办法》（财预〔2020〕10号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14:paraId="74E64E84">
      <w:pPr>
        <w:ind w:firstLine="560"/>
        <w:rPr>
          <w:color w:val="auto"/>
          <w:highlight w:val="none"/>
        </w:rPr>
      </w:pPr>
      <w:bookmarkStart w:id="8" w:name="_Toc1913"/>
      <w:bookmarkStart w:id="9" w:name="_Toc26131"/>
      <w:bookmarkStart w:id="10" w:name="_Toc419984722"/>
      <w:bookmarkStart w:id="11" w:name="_Toc428278230"/>
      <w:r>
        <w:rPr>
          <w:rFonts w:hint="eastAsia"/>
          <w:color w:val="auto"/>
          <w:highlight w:val="none"/>
        </w:rPr>
        <w:t>（1）科学公正。绩效评价应当运用科学合理的方法，按照规范的程序，对项目绩效进行客观、公正的反映。</w:t>
      </w:r>
    </w:p>
    <w:p w14:paraId="54FEFF84">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0670F4BC">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14:paraId="0EB733A4">
      <w:pPr>
        <w:snapToGrid w:val="0"/>
        <w:ind w:firstLine="560"/>
        <w:rPr>
          <w:color w:val="auto"/>
          <w:highlight w:val="none"/>
        </w:rPr>
      </w:pPr>
      <w:r>
        <w:rPr>
          <w:rFonts w:hint="eastAsia"/>
          <w:color w:val="auto"/>
          <w:highlight w:val="none"/>
        </w:rPr>
        <w:t>（4）公开透明。绩效评价结果应依法依规公开，并自觉接受社会监督。</w:t>
      </w:r>
    </w:p>
    <w:p w14:paraId="7EE878D2">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p>
    <w:p w14:paraId="71B0385C">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14:paraId="569490F8">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14:paraId="1A000E7C">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14:paraId="6A2C8753">
      <w:pPr>
        <w:pStyle w:val="4"/>
        <w:ind w:firstLine="562"/>
        <w:rPr>
          <w:color w:val="auto"/>
          <w:highlight w:val="none"/>
        </w:rPr>
      </w:pPr>
      <w:r>
        <w:rPr>
          <w:rFonts w:hint="eastAsia"/>
          <w:color w:val="auto"/>
          <w:highlight w:val="none"/>
        </w:rPr>
        <w:t>2.绩效评价指标体系</w:t>
      </w:r>
      <w:bookmarkEnd w:id="8"/>
      <w:bookmarkEnd w:id="9"/>
      <w:bookmarkEnd w:id="10"/>
      <w:bookmarkEnd w:id="11"/>
    </w:p>
    <w:p w14:paraId="125CF84E">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14:paraId="439DA614">
      <w:pPr>
        <w:pStyle w:val="4"/>
        <w:ind w:firstLine="562"/>
        <w:rPr>
          <w:color w:val="auto"/>
          <w:highlight w:val="none"/>
        </w:rPr>
      </w:pPr>
      <w:r>
        <w:rPr>
          <w:rFonts w:hint="eastAsia"/>
          <w:color w:val="auto"/>
          <w:highlight w:val="none"/>
        </w:rPr>
        <w:t>3.评价方法</w:t>
      </w:r>
    </w:p>
    <w:p w14:paraId="26FCD813">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30222131">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14:paraId="391564E2">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17833BE5">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val="en-US" w:eastAsia="zh-CN"/>
        </w:rPr>
        <w:t>:</w:t>
      </w:r>
    </w:p>
    <w:p w14:paraId="67C9DDAC">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14:paraId="1927C678">
      <w:pPr>
        <w:pStyle w:val="6"/>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14:paraId="3D1E29A3">
      <w:pPr>
        <w:pStyle w:val="6"/>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14:paraId="47626595">
      <w:pPr>
        <w:pStyle w:val="6"/>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14:paraId="3E3B0328">
      <w:pPr>
        <w:pStyle w:val="6"/>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14:paraId="3B9325B9">
      <w:pPr>
        <w:pStyle w:val="6"/>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14:paraId="4EDF3518">
      <w:pPr>
        <w:pStyle w:val="6"/>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14:paraId="659C217D">
      <w:pPr>
        <w:pStyle w:val="6"/>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14:paraId="0170F16A">
      <w:pPr>
        <w:pStyle w:val="6"/>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14:paraId="24D62671">
      <w:pPr>
        <w:pStyle w:val="6"/>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14:paraId="29EAEEB3">
      <w:pPr>
        <w:pStyle w:val="6"/>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14:paraId="5AB65C08">
      <w:pPr>
        <w:pStyle w:val="6"/>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76DE4A21">
      <w:pPr>
        <w:pStyle w:val="6"/>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14:paraId="5E4F07B7">
      <w:pPr>
        <w:pStyle w:val="4"/>
        <w:ind w:firstLine="562"/>
        <w:rPr>
          <w:color w:val="auto"/>
          <w:highlight w:val="none"/>
        </w:rPr>
      </w:pPr>
      <w:r>
        <w:rPr>
          <w:rFonts w:hint="eastAsia"/>
          <w:color w:val="auto"/>
          <w:highlight w:val="none"/>
        </w:rPr>
        <w:t>4.评价标准</w:t>
      </w:r>
    </w:p>
    <w:p w14:paraId="167E1D6A">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17BF9CC5">
      <w:pPr>
        <w:pStyle w:val="3"/>
        <w:ind w:firstLine="643"/>
        <w:rPr>
          <w:color w:val="auto"/>
          <w:highlight w:val="none"/>
        </w:rPr>
      </w:pPr>
      <w:r>
        <w:rPr>
          <w:rFonts w:hint="eastAsia"/>
          <w:color w:val="auto"/>
          <w:highlight w:val="none"/>
        </w:rPr>
        <w:t>（三）绩效评价工作过程</w:t>
      </w:r>
    </w:p>
    <w:p w14:paraId="6B873172">
      <w:pPr>
        <w:pStyle w:val="4"/>
        <w:ind w:firstLine="562"/>
        <w:rPr>
          <w:color w:val="auto"/>
          <w:highlight w:val="none"/>
        </w:rPr>
      </w:pPr>
      <w:r>
        <w:rPr>
          <w:rFonts w:hint="eastAsia"/>
          <w:color w:val="auto"/>
          <w:highlight w:val="none"/>
        </w:rPr>
        <w:t>1.前期准备</w:t>
      </w:r>
    </w:p>
    <w:p w14:paraId="7A51F2B1">
      <w:pPr>
        <w:ind w:firstLine="560"/>
        <w:rPr>
          <w:color w:val="auto"/>
          <w:highlight w:val="none"/>
        </w:rPr>
      </w:pPr>
      <w:r>
        <w:rPr>
          <w:rFonts w:hint="eastAsia"/>
          <w:color w:val="auto"/>
          <w:highlight w:val="none"/>
        </w:rPr>
        <w:t>我单位于</w:t>
      </w: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08E89DCA">
      <w:pPr>
        <w:ind w:firstLine="560"/>
        <w:rPr>
          <w:color w:val="auto"/>
          <w:highlight w:val="none"/>
        </w:rPr>
      </w:pPr>
      <w:r>
        <w:rPr>
          <w:rFonts w:hint="eastAsia"/>
          <w:color w:val="auto"/>
          <w:highlight w:val="none"/>
          <w:lang w:eastAsia="zh-CN"/>
        </w:rPr>
        <w:t>才仁加甫</w:t>
      </w:r>
      <w:r>
        <w:rPr>
          <w:rFonts w:hint="eastAsia"/>
          <w:color w:val="auto"/>
          <w:highlight w:val="none"/>
        </w:rPr>
        <w:t>（评价小组组长）：</w:t>
      </w:r>
      <w:r>
        <w:rPr>
          <w:rFonts w:hint="eastAsia"/>
          <w:color w:val="auto"/>
          <w:highlight w:val="none"/>
        </w:rPr>
        <w:t>主要负责</w:t>
      </w:r>
      <w:r>
        <w:rPr>
          <w:rFonts w:hint="eastAsia"/>
          <w:color w:val="auto"/>
          <w:highlight w:val="none"/>
          <w:lang w:val="en-US" w:eastAsia="zh-CN"/>
        </w:rPr>
        <w:t>确定绩效评价</w:t>
      </w:r>
      <w:r>
        <w:rPr>
          <w:rFonts w:hint="eastAsia"/>
          <w:color w:val="auto"/>
          <w:highlight w:val="none"/>
          <w:lang w:val="en-US" w:eastAsia="zh-Hans"/>
        </w:rPr>
        <w:t>模</w:t>
      </w:r>
      <w:r>
        <w:rPr>
          <w:rFonts w:hint="eastAsia"/>
          <w:color w:val="auto"/>
          <w:highlight w:val="none"/>
          <w:lang w:val="en-US" w:eastAsia="zh-CN"/>
        </w:rPr>
        <w:t>板</w:t>
      </w:r>
      <w:r>
        <w:rPr>
          <w:rFonts w:hint="eastAsia"/>
          <w:color w:val="auto"/>
          <w:highlight w:val="none"/>
        </w:rPr>
        <w:t>、总体协调沟通、全盘统筹、</w:t>
      </w:r>
      <w:r>
        <w:rPr>
          <w:rFonts w:hint="eastAsia"/>
          <w:color w:val="auto"/>
          <w:highlight w:val="none"/>
          <w:lang w:val="en-US" w:eastAsia="zh-CN"/>
        </w:rPr>
        <w:t>总体</w:t>
      </w:r>
      <w:r>
        <w:rPr>
          <w:rFonts w:hint="eastAsia"/>
          <w:color w:val="auto"/>
          <w:highlight w:val="none"/>
        </w:rPr>
        <w:t>质量把关等工作</w:t>
      </w:r>
      <w:r>
        <w:rPr>
          <w:rFonts w:hint="eastAsia"/>
          <w:color w:val="auto"/>
          <w:highlight w:val="none"/>
        </w:rPr>
        <w:t>;</w:t>
      </w:r>
    </w:p>
    <w:p w14:paraId="2F81EF90">
      <w:pPr>
        <w:ind w:firstLine="560"/>
        <w:rPr>
          <w:color w:val="auto"/>
          <w:highlight w:val="none"/>
        </w:rPr>
      </w:pPr>
      <w:r>
        <w:rPr>
          <w:rFonts w:hint="eastAsia"/>
          <w:color w:val="auto"/>
          <w:highlight w:val="none"/>
          <w:lang w:eastAsia="zh-CN"/>
        </w:rPr>
        <w:t>巴叶</w:t>
      </w:r>
      <w:r>
        <w:rPr>
          <w:rFonts w:hint="eastAsia"/>
          <w:color w:val="auto"/>
          <w:highlight w:val="none"/>
        </w:rPr>
        <w:t>（评价小组组员）：</w:t>
      </w:r>
      <w:r>
        <w:rPr>
          <w:rFonts w:hint="eastAsia"/>
          <w:color w:val="auto"/>
          <w:highlight w:val="none"/>
        </w:rPr>
        <w:t>主要负责绩效评价现场督导，对评价组成员的评价检查工作提供技术指导与支持，对实效评价工作质量把关</w:t>
      </w:r>
      <w:r>
        <w:rPr>
          <w:rFonts w:hint="eastAsia"/>
          <w:color w:val="auto"/>
          <w:highlight w:val="none"/>
        </w:rPr>
        <w:t>;</w:t>
      </w:r>
    </w:p>
    <w:p w14:paraId="124286E9">
      <w:pPr>
        <w:ind w:firstLine="560"/>
        <w:rPr>
          <w:color w:val="auto"/>
          <w:highlight w:val="none"/>
        </w:rPr>
      </w:pPr>
      <w:r>
        <w:rPr>
          <w:rFonts w:hint="eastAsia"/>
          <w:color w:val="auto"/>
          <w:highlight w:val="none"/>
          <w:lang w:eastAsia="zh-CN"/>
        </w:rPr>
        <w:t>丁琴</w:t>
      </w:r>
      <w:r>
        <w:rPr>
          <w:rFonts w:hint="eastAsia"/>
          <w:color w:val="auto"/>
          <w:highlight w:val="none"/>
        </w:rPr>
        <w:t>（评价小组组员）：</w:t>
      </w:r>
      <w:r>
        <w:rPr>
          <w:rFonts w:hint="eastAsia"/>
          <w:color w:val="auto"/>
          <w:highlight w:val="none"/>
        </w:rPr>
        <w:t>主要负责现场调研工作，完成收集整理资料、审核数据、填报绩效评价内容等工作</w:t>
      </w:r>
      <w:r>
        <w:rPr>
          <w:rFonts w:hint="eastAsia"/>
          <w:color w:val="auto"/>
          <w:highlight w:val="none"/>
        </w:rPr>
        <w:t>。</w:t>
      </w:r>
    </w:p>
    <w:p w14:paraId="4F46E6E7">
      <w:pPr>
        <w:pStyle w:val="4"/>
        <w:ind w:firstLine="562"/>
        <w:rPr>
          <w:color w:val="auto"/>
          <w:highlight w:val="none"/>
        </w:rPr>
      </w:pPr>
      <w:r>
        <w:rPr>
          <w:rFonts w:hint="eastAsia"/>
          <w:color w:val="auto"/>
          <w:highlight w:val="none"/>
        </w:rPr>
        <w:t>2.组织实施</w:t>
      </w:r>
    </w:p>
    <w:p w14:paraId="6DF5C2F6">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7B86F5DC">
      <w:pPr>
        <w:pStyle w:val="4"/>
        <w:ind w:firstLine="562"/>
        <w:rPr>
          <w:color w:val="auto"/>
          <w:highlight w:val="none"/>
        </w:rPr>
      </w:pPr>
      <w:r>
        <w:rPr>
          <w:rFonts w:hint="eastAsia"/>
          <w:color w:val="auto"/>
          <w:highlight w:val="none"/>
        </w:rPr>
        <w:t>3.分析评价</w:t>
      </w:r>
    </w:p>
    <w:p w14:paraId="25D564B8">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日，评价小组按照绩效评价的原则和规范，对取得的资料进行审查核实，对采集的数据进行分析，按照绩效评价指标评分表逐项进行打分、分析、汇总各方评价结果。</w:t>
      </w:r>
    </w:p>
    <w:p w14:paraId="73AB6B55">
      <w:pPr>
        <w:pStyle w:val="4"/>
        <w:ind w:firstLine="562"/>
        <w:rPr>
          <w:rFonts w:hint="eastAsia"/>
          <w:color w:val="auto"/>
          <w:highlight w:val="none"/>
        </w:rPr>
      </w:pPr>
      <w:r>
        <w:rPr>
          <w:rFonts w:hint="eastAsia"/>
          <w:color w:val="auto"/>
          <w:highlight w:val="none"/>
        </w:rPr>
        <w:t>4.撰写与提交评价报告</w:t>
      </w:r>
    </w:p>
    <w:p w14:paraId="308684FD">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3</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14:paraId="2325A0EF">
      <w:pPr>
        <w:pStyle w:val="4"/>
        <w:ind w:firstLine="562"/>
        <w:rPr>
          <w:rFonts w:hint="eastAsia"/>
          <w:color w:val="auto"/>
          <w:highlight w:val="none"/>
        </w:rPr>
      </w:pPr>
      <w:r>
        <w:rPr>
          <w:rFonts w:hint="eastAsia"/>
          <w:color w:val="auto"/>
          <w:highlight w:val="none"/>
        </w:rPr>
        <w:t>5.问题整改</w:t>
      </w:r>
    </w:p>
    <w:p w14:paraId="7D6CF1C2">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78556AD5">
      <w:pPr>
        <w:pStyle w:val="4"/>
        <w:ind w:firstLine="562"/>
        <w:rPr>
          <w:rFonts w:hint="eastAsia"/>
          <w:color w:val="auto"/>
          <w:highlight w:val="none"/>
        </w:rPr>
      </w:pPr>
      <w:r>
        <w:rPr>
          <w:rFonts w:hint="eastAsia"/>
          <w:color w:val="auto"/>
          <w:highlight w:val="none"/>
        </w:rPr>
        <w:t>6.档案整理</w:t>
      </w:r>
    </w:p>
    <w:p w14:paraId="39D8BC09">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14:paraId="0D362CC2">
      <w:pPr>
        <w:pStyle w:val="2"/>
        <w:numPr>
          <w:ilvl w:val="0"/>
          <w:numId w:val="3"/>
        </w:numPr>
        <w:ind w:firstLine="643"/>
        <w:rPr>
          <w:color w:val="auto"/>
          <w:highlight w:val="none"/>
        </w:rPr>
      </w:pPr>
      <w:r>
        <w:rPr>
          <w:rFonts w:hint="eastAsia"/>
          <w:color w:val="auto"/>
          <w:highlight w:val="none"/>
        </w:rPr>
        <w:t>综合评价情况及评价结论</w:t>
      </w:r>
    </w:p>
    <w:p w14:paraId="6D84810D">
      <w:pPr>
        <w:pStyle w:val="3"/>
        <w:ind w:firstLine="643"/>
        <w:rPr>
          <w:rFonts w:hint="eastAsia"/>
          <w:b w:val="0"/>
          <w:color w:val="auto"/>
          <w:highlight w:val="none"/>
        </w:rPr>
      </w:pPr>
      <w:r>
        <w:rPr>
          <w:rFonts w:hint="eastAsia"/>
          <w:color w:val="auto"/>
          <w:highlight w:val="none"/>
        </w:rPr>
        <w:t>（一）综合评价情况</w:t>
      </w:r>
    </w:p>
    <w:p w14:paraId="127230D6">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2024年免费开放专项资金用于6个展厅及满汗王府旧址陈列展厅日常维护，发放3个聘用人员工资及社保，开展5.18流动博物馆活动，实现全年3</w:t>
      </w:r>
      <w:r>
        <w:rPr>
          <w:rFonts w:hint="eastAsia"/>
          <w:color w:val="auto"/>
          <w:highlight w:val="none"/>
          <w:lang w:val="en-US" w:eastAsia="zh-CN"/>
        </w:rPr>
        <w:t>50</w:t>
      </w:r>
      <w:r>
        <w:rPr>
          <w:rFonts w:hint="eastAsia"/>
          <w:color w:val="auto"/>
          <w:highlight w:val="none"/>
        </w:rPr>
        <w:t>天免费开放达到丰富群众文化知识。培养青少年的爱国主义情操，不断弘扬传承优秀传统文化，大力培育社会主义核心价值观，有效保障各族群众精神文化需求，促进社会和谐稳定的成效。</w:t>
      </w:r>
      <w:r>
        <w:rPr>
          <w:rFonts w:hint="eastAsia"/>
          <w:color w:val="auto"/>
          <w:highlight w:val="none"/>
          <w:lang w:val="zh-TW" w:eastAsia="zh-TW"/>
        </w:rPr>
        <w:t>年初设立的绩效目标，在实施过程中取得了良好的成效，具体表现在以下</w:t>
      </w:r>
      <w:r>
        <w:rPr>
          <w:rFonts w:hint="eastAsia"/>
          <w:color w:val="auto"/>
          <w:highlight w:val="none"/>
          <w:lang w:val="zh-TW"/>
        </w:rPr>
        <w:t>三</w:t>
      </w:r>
      <w:r>
        <w:rPr>
          <w:rFonts w:hint="eastAsia"/>
          <w:color w:val="auto"/>
          <w:highlight w:val="none"/>
        </w:rPr>
        <w:t>方面</w:t>
      </w:r>
      <w:r>
        <w:rPr>
          <w:rFonts w:hint="eastAsia"/>
          <w:color w:val="auto"/>
          <w:highlight w:val="none"/>
          <w:lang w:val="zh-TW" w:eastAsia="zh-TW"/>
        </w:rPr>
        <w:t>：</w:t>
      </w:r>
    </w:p>
    <w:p w14:paraId="284798C9">
      <w:pPr>
        <w:ind w:firstLine="560"/>
        <w:rPr>
          <w:color w:val="auto"/>
          <w:highlight w:val="none"/>
        </w:rPr>
      </w:pPr>
      <w:r>
        <w:rPr>
          <w:rFonts w:hint="eastAsia"/>
          <w:color w:val="auto"/>
          <w:highlight w:val="none"/>
        </w:rPr>
        <w:t>一是：</w:t>
      </w:r>
      <w:r>
        <w:rPr>
          <w:rFonts w:hint="eastAsia"/>
          <w:color w:val="auto"/>
          <w:highlight w:val="none"/>
          <w:lang w:eastAsia="zh-CN"/>
        </w:rPr>
        <w:t>截止</w:t>
      </w:r>
      <w:r>
        <w:rPr>
          <w:rFonts w:hint="eastAsia"/>
          <w:color w:val="auto"/>
          <w:highlight w:val="none"/>
        </w:rPr>
        <w:t>2024年12月，经费已完成一家场馆运行免费开放350天，开展纪念日及教育活动65场开展活动及时率达</w:t>
      </w:r>
      <w:r>
        <w:rPr>
          <w:rFonts w:hint="eastAsia"/>
          <w:color w:val="auto"/>
          <w:highlight w:val="none"/>
          <w:lang w:val="en-US" w:eastAsia="zh-CN"/>
        </w:rPr>
        <w:t>100</w:t>
      </w:r>
      <w:r>
        <w:rPr>
          <w:rFonts w:hint="eastAsia"/>
          <w:color w:val="auto"/>
          <w:highlight w:val="none"/>
        </w:rPr>
        <w:t>%</w:t>
      </w:r>
      <w:r>
        <w:rPr>
          <w:rFonts w:hint="eastAsia"/>
          <w:color w:val="auto"/>
          <w:highlight w:val="none"/>
          <w:lang w:eastAsia="zh-CN"/>
        </w:rPr>
        <w:t>展厅日常维护及经费活动12.84万元</w:t>
      </w:r>
      <w:r>
        <w:rPr>
          <w:rFonts w:hint="eastAsia"/>
          <w:color w:val="auto"/>
          <w:highlight w:val="none"/>
        </w:rPr>
        <w:t>，发放聘用人员工资及社保16.98万元。</w:t>
      </w:r>
    </w:p>
    <w:p w14:paraId="515722C4">
      <w:pPr>
        <w:ind w:firstLine="560"/>
        <w:rPr>
          <w:rFonts w:hint="eastAsia"/>
          <w:color w:val="auto"/>
          <w:highlight w:val="none"/>
        </w:rPr>
      </w:pPr>
      <w:r>
        <w:rPr>
          <w:rFonts w:hint="eastAsia"/>
          <w:color w:val="auto"/>
          <w:highlight w:val="none"/>
        </w:rPr>
        <w:t>二是：培养青少年的爱国主义情操，不断弘扬传承优秀传统文化，大力培育社会主义核心价值观，有效保障各族群众精神文化需求，促进社会和谐稳定的成效。</w:t>
      </w:r>
    </w:p>
    <w:p w14:paraId="56EC8499">
      <w:pPr>
        <w:ind w:firstLine="560"/>
        <w:rPr>
          <w:rFonts w:hint="eastAsia"/>
          <w:color w:val="auto"/>
          <w:highlight w:val="none"/>
        </w:rPr>
      </w:pPr>
      <w:r>
        <w:rPr>
          <w:rFonts w:hint="eastAsia"/>
          <w:color w:val="auto"/>
          <w:highlight w:val="none"/>
        </w:rPr>
        <w:t>三是：免费开放工作按计划完成，参观者及工作人员满意度达9</w:t>
      </w:r>
      <w:r>
        <w:rPr>
          <w:rFonts w:hint="eastAsia"/>
          <w:color w:val="auto"/>
          <w:highlight w:val="none"/>
          <w:lang w:val="en-US" w:eastAsia="zh-CN"/>
        </w:rPr>
        <w:t>6</w:t>
      </w:r>
      <w:r>
        <w:rPr>
          <w:rFonts w:hint="eastAsia"/>
          <w:color w:val="auto"/>
          <w:highlight w:val="none"/>
        </w:rPr>
        <w:t>%。</w:t>
      </w:r>
    </w:p>
    <w:p w14:paraId="56F75265">
      <w:pPr>
        <w:pStyle w:val="3"/>
        <w:ind w:left="560" w:leftChars="200" w:firstLine="0" w:firstLineChars="0"/>
        <w:rPr>
          <w:color w:val="auto"/>
          <w:highlight w:val="none"/>
        </w:rPr>
      </w:pPr>
      <w:r>
        <w:rPr>
          <w:rFonts w:hint="eastAsia"/>
          <w:color w:val="auto"/>
          <w:highlight w:val="none"/>
        </w:rPr>
        <w:t>（二）评价结论</w:t>
      </w:r>
    </w:p>
    <w:p w14:paraId="199700AF">
      <w:pPr>
        <w:ind w:firstLine="560"/>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99.69</w:t>
      </w:r>
      <w:r>
        <w:rPr>
          <w:rFonts w:hint="eastAsia"/>
          <w:color w:val="auto"/>
          <w:highlight w:val="none"/>
          <w:lang w:val="zh-TW" w:eastAsia="zh-TW"/>
        </w:rPr>
        <w:t>分，绩效评级为“</w:t>
      </w:r>
      <w:r>
        <w:rPr>
          <w:rFonts w:hint="eastAsia"/>
          <w:color w:val="auto"/>
          <w:highlight w:val="none"/>
          <w:lang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21</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18</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85.71</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lang w:val="en-US" w:eastAsia="zh-CN"/>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4</w:t>
      </w:r>
      <w:r>
        <w:rPr>
          <w:rFonts w:hint="eastAsia"/>
          <w:color w:val="auto"/>
          <w:highlight w:val="none"/>
          <w:lang w:val="zh-TW" w:eastAsia="zh-TW"/>
        </w:rPr>
        <w:t>个，得分率</w:t>
      </w:r>
      <w:r>
        <w:rPr>
          <w:rFonts w:hint="eastAsia"/>
          <w:color w:val="auto"/>
          <w:highlight w:val="none"/>
          <w:lang w:val="en-US" w:eastAsia="zh-CN"/>
        </w:rPr>
        <w:t>80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2</w:t>
      </w:r>
      <w:r>
        <w:rPr>
          <w:rFonts w:hint="eastAsia"/>
          <w:color w:val="auto"/>
          <w:highlight w:val="none"/>
          <w:lang w:val="zh-TW" w:eastAsia="zh-TW"/>
        </w:rPr>
        <w:t>个，满分指标</w:t>
      </w:r>
      <w:r>
        <w:rPr>
          <w:rFonts w:hint="eastAsia"/>
          <w:color w:val="auto"/>
          <w:highlight w:val="none"/>
          <w:lang w:val="en-US" w:eastAsia="zh-CN"/>
        </w:rPr>
        <w:t>0</w:t>
      </w:r>
      <w:r>
        <w:rPr>
          <w:rFonts w:hint="eastAsia"/>
          <w:color w:val="auto"/>
          <w:highlight w:val="none"/>
          <w:lang w:val="zh-TW" w:eastAsia="zh-TW"/>
        </w:rPr>
        <w:t>个，得分率</w:t>
      </w:r>
      <w:r>
        <w:rPr>
          <w:rFonts w:hint="eastAsia"/>
          <w:color w:val="auto"/>
          <w:highlight w:val="none"/>
          <w:lang w:val="en-US" w:eastAsia="zh-CN"/>
        </w:rPr>
        <w:t>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2</w:t>
      </w:r>
      <w:r>
        <w:rPr>
          <w:rFonts w:hint="eastAsia"/>
          <w:color w:val="auto"/>
          <w:highlight w:val="none"/>
          <w:lang w:val="zh-TW" w:eastAsia="zh-TW"/>
        </w:rPr>
        <w:t>个，满分指标</w:t>
      </w:r>
      <w:r>
        <w:rPr>
          <w:rFonts w:hint="eastAsia"/>
          <w:color w:val="auto"/>
          <w:highlight w:val="none"/>
          <w:lang w:val="en-US" w:eastAsia="zh-CN"/>
        </w:rPr>
        <w:t>2</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，详细情况见“附件2：项目综合得分表”。</w:t>
      </w:r>
    </w:p>
    <w:p w14:paraId="50CFBEE3">
      <w:pPr>
        <w:pStyle w:val="2"/>
        <w:numPr>
          <w:ilvl w:val="0"/>
          <w:numId w:val="3"/>
        </w:numPr>
        <w:ind w:firstLine="643"/>
        <w:rPr>
          <w:color w:val="auto"/>
          <w:highlight w:val="none"/>
        </w:rPr>
      </w:pPr>
      <w:r>
        <w:rPr>
          <w:rFonts w:hint="eastAsia"/>
          <w:color w:val="auto"/>
          <w:highlight w:val="none"/>
        </w:rPr>
        <w:t>绩效评价指标分析</w:t>
      </w:r>
    </w:p>
    <w:p w14:paraId="67A7ECB2">
      <w:pPr>
        <w:pStyle w:val="3"/>
        <w:ind w:firstLine="643"/>
        <w:rPr>
          <w:color w:val="auto"/>
          <w:highlight w:val="none"/>
        </w:rPr>
      </w:pPr>
      <w:r>
        <w:rPr>
          <w:rFonts w:hint="eastAsia"/>
          <w:color w:val="auto"/>
          <w:highlight w:val="none"/>
        </w:rPr>
        <w:t>（一）项目决策情况</w:t>
      </w:r>
    </w:p>
    <w:p w14:paraId="71BFFB61">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14:paraId="43347D82">
      <w:pPr>
        <w:pStyle w:val="4"/>
        <w:ind w:firstLine="562"/>
        <w:rPr>
          <w:color w:val="auto"/>
          <w:highlight w:val="none"/>
        </w:rPr>
      </w:pPr>
      <w:r>
        <w:rPr>
          <w:rFonts w:hint="eastAsia"/>
          <w:color w:val="auto"/>
          <w:highlight w:val="none"/>
        </w:rPr>
        <w:t>1.项目立项情况分析</w:t>
      </w:r>
    </w:p>
    <w:p w14:paraId="215BF82D">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14:paraId="5855820A">
      <w:pPr>
        <w:ind w:firstLine="560"/>
        <w:rPr>
          <w:color w:val="auto"/>
          <w:highlight w:val="none"/>
          <w:lang w:eastAsia="zh-Hans"/>
        </w:rPr>
      </w:pPr>
      <w:r>
        <w:rPr>
          <w:rFonts w:hint="eastAsia"/>
          <w:color w:val="auto"/>
          <w:highlight w:val="none"/>
        </w:rPr>
        <w:t>本项目</w:t>
      </w:r>
      <w:r>
        <w:rPr>
          <w:rFonts w:hint="eastAsia"/>
          <w:color w:val="auto"/>
          <w:highlight w:val="none"/>
          <w:lang w:eastAsia="zh-Hans"/>
        </w:rPr>
        <w:t>立项符合《</w:t>
      </w:r>
      <w:r>
        <w:rPr>
          <w:rFonts w:hint="eastAsia"/>
          <w:color w:val="auto"/>
          <w:highlight w:val="none"/>
        </w:rPr>
        <w:t>巴财教〔2023〕67号关于提前下达2024年中央补助地方博物馆纪念馆免费开放补助资金的通知</w:t>
      </w:r>
      <w:r>
        <w:rPr>
          <w:rFonts w:hint="eastAsia"/>
          <w:color w:val="auto"/>
          <w:highlight w:val="none"/>
          <w:lang w:eastAsia="zh-Hans" w:bidi="ar"/>
        </w:rPr>
        <w:t>》</w:t>
      </w:r>
      <w:r>
        <w:rPr>
          <w:rFonts w:hint="eastAsia"/>
          <w:color w:val="auto"/>
          <w:highlight w:val="none"/>
          <w:lang w:eastAsia="zh-Hans"/>
        </w:rPr>
        <w:t>中</w:t>
      </w:r>
      <w:r>
        <w:rPr>
          <w:rFonts w:hint="eastAsia"/>
          <w:color w:val="auto"/>
          <w:highlight w:val="none"/>
        </w:rPr>
        <w:t>：“地方博物馆纪念馆免费开放”</w:t>
      </w:r>
      <w:r>
        <w:rPr>
          <w:rFonts w:hint="eastAsia"/>
          <w:color w:val="auto"/>
          <w:highlight w:val="none"/>
          <w:lang w:eastAsia="zh-Hans" w:bidi="ar"/>
        </w:rPr>
        <w:t>内容，</w:t>
      </w:r>
      <w:r>
        <w:rPr>
          <w:rFonts w:hint="eastAsia"/>
          <w:color w:val="auto"/>
          <w:highlight w:val="none"/>
          <w:lang w:eastAsia="zh-Hans"/>
        </w:rPr>
        <w:t>符合行业发展规划和政策要求</w:t>
      </w:r>
      <w:r>
        <w:rPr>
          <w:rFonts w:hint="eastAsia"/>
          <w:color w:val="auto"/>
          <w:highlight w:val="none"/>
        </w:rPr>
        <w:t>；本</w:t>
      </w:r>
      <w:r>
        <w:rPr>
          <w:rFonts w:hint="eastAsia"/>
          <w:color w:val="auto"/>
          <w:highlight w:val="none"/>
          <w:lang w:eastAsia="zh-Hans"/>
        </w:rPr>
        <w:t>项目立项符合《</w:t>
      </w:r>
      <w:r>
        <w:rPr>
          <w:rFonts w:hint="eastAsia"/>
          <w:color w:val="auto"/>
          <w:highlight w:val="none"/>
          <w:lang w:eastAsia="zh-CN"/>
        </w:rPr>
        <w:t>事业</w:t>
      </w:r>
      <w:r>
        <w:rPr>
          <w:rFonts w:hint="eastAsia"/>
          <w:color w:val="auto"/>
          <w:highlight w:val="none"/>
        </w:rPr>
        <w:t>单位</w:t>
      </w:r>
      <w:r>
        <w:rPr>
          <w:rFonts w:hint="eastAsia"/>
          <w:color w:val="auto"/>
          <w:highlight w:val="none"/>
          <w:lang w:eastAsia="zh-Hans"/>
        </w:rPr>
        <w:t>配置内设机构和人员编制规定》中职责范围</w:t>
      </w:r>
      <w:r>
        <w:rPr>
          <w:rFonts w:hint="eastAsia"/>
          <w:color w:val="auto"/>
          <w:highlight w:val="none"/>
        </w:rPr>
        <w:t>中的“地方博物馆纪念馆免费开放”</w:t>
      </w:r>
      <w:r>
        <w:rPr>
          <w:rFonts w:hint="eastAsia"/>
          <w:color w:val="auto"/>
          <w:highlight w:val="none"/>
          <w:lang w:eastAsia="zh-Hans"/>
        </w:rPr>
        <w:t>，属于</w:t>
      </w:r>
      <w:r>
        <w:rPr>
          <w:rFonts w:hint="eastAsia"/>
          <w:color w:val="auto"/>
          <w:highlight w:val="none"/>
        </w:rPr>
        <w:t>我单位</w:t>
      </w:r>
      <w:r>
        <w:rPr>
          <w:rFonts w:hint="eastAsia"/>
          <w:color w:val="auto"/>
          <w:highlight w:val="none"/>
          <w:lang w:eastAsia="zh-Hans"/>
        </w:rPr>
        <w:t>履职所需</w:t>
      </w:r>
      <w:r>
        <w:rPr>
          <w:rFonts w:hint="eastAsia"/>
          <w:color w:val="auto"/>
          <w:highlight w:val="none"/>
        </w:rPr>
        <w:t>；</w:t>
      </w:r>
      <w:r>
        <w:rPr>
          <w:rFonts w:hint="eastAsia"/>
          <w:color w:val="auto"/>
          <w:highlight w:val="none"/>
          <w:lang w:eastAsia="zh-Hans"/>
        </w:rPr>
        <w:t>根据《财政资金直接支付申请书》</w:t>
      </w:r>
      <w:r>
        <w:rPr>
          <w:rFonts w:hint="eastAsia"/>
          <w:color w:val="auto"/>
          <w:highlight w:val="none"/>
        </w:rPr>
        <w:t>，本</w:t>
      </w:r>
      <w:r>
        <w:rPr>
          <w:rFonts w:hint="eastAsia"/>
          <w:color w:val="auto"/>
          <w:highlight w:val="none"/>
          <w:lang w:eastAsia="zh-Hans"/>
        </w:rPr>
        <w:t>项目资金性质为“公共财政预算”功能分类为“</w:t>
      </w:r>
      <w:r>
        <w:rPr>
          <w:rFonts w:hint="eastAsia"/>
          <w:color w:val="auto"/>
          <w:highlight w:val="none"/>
          <w:lang w:val="en-US" w:eastAsia="zh-CN"/>
        </w:rPr>
        <w:t>2070205</w:t>
      </w:r>
      <w:r>
        <w:rPr>
          <w:rFonts w:hint="eastAsia"/>
          <w:color w:val="auto"/>
          <w:highlight w:val="none"/>
          <w:lang w:eastAsia="zh-Hans"/>
        </w:rPr>
        <w:t>”经济分类为“</w:t>
      </w:r>
      <w:r>
        <w:rPr>
          <w:rFonts w:hint="eastAsia"/>
          <w:color w:val="auto"/>
          <w:highlight w:val="none"/>
          <w:lang w:eastAsia="zh-CN"/>
        </w:rPr>
        <w:t>博物馆</w:t>
      </w:r>
      <w:r>
        <w:rPr>
          <w:rFonts w:hint="eastAsia"/>
          <w:color w:val="auto"/>
          <w:highlight w:val="none"/>
          <w:lang w:eastAsia="zh-Hans"/>
        </w:rPr>
        <w:t>”属于公共财政支持范围，符合中央、地方事权支出责任划分原则</w:t>
      </w:r>
      <w:r>
        <w:rPr>
          <w:rFonts w:hint="eastAsia"/>
          <w:color w:val="auto"/>
          <w:highlight w:val="none"/>
        </w:rPr>
        <w:t>；经检查</w:t>
      </w:r>
      <w:r>
        <w:rPr>
          <w:rFonts w:hint="eastAsia"/>
          <w:color w:val="auto"/>
          <w:highlight w:val="none"/>
          <w:lang w:eastAsia="zh-Hans"/>
        </w:rPr>
        <w:t>我单位财政</w:t>
      </w:r>
      <w:r>
        <w:rPr>
          <w:color w:val="auto"/>
          <w:highlight w:val="none"/>
          <w:lang w:eastAsia="zh-Hans"/>
        </w:rPr>
        <w:t>应用平台</w:t>
      </w:r>
      <w:r>
        <w:rPr>
          <w:rFonts w:hint="eastAsia"/>
          <w:color w:val="auto"/>
          <w:highlight w:val="none"/>
          <w:lang w:eastAsia="zh-Hans"/>
        </w:rPr>
        <w:t>指标，</w:t>
      </w:r>
      <w:r>
        <w:rPr>
          <w:rFonts w:hint="eastAsia"/>
          <w:color w:val="auto"/>
          <w:highlight w:val="none"/>
        </w:rPr>
        <w:t>本</w:t>
      </w:r>
      <w:r>
        <w:rPr>
          <w:rFonts w:hint="eastAsia"/>
          <w:color w:val="auto"/>
          <w:highlight w:val="none"/>
          <w:lang w:eastAsia="zh-Hans"/>
        </w:rPr>
        <w:t>项目不存在重复。</w:t>
      </w:r>
    </w:p>
    <w:p w14:paraId="08BCFAF6">
      <w:pPr>
        <w:ind w:firstLine="560"/>
        <w:rPr>
          <w:b/>
          <w:bCs/>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p>
    <w:p w14:paraId="4589DDD7">
      <w:pPr>
        <w:ind w:firstLine="562"/>
        <w:rPr>
          <w:b/>
          <w:bCs/>
          <w:color w:val="auto"/>
          <w:highlight w:val="none"/>
        </w:rPr>
      </w:pPr>
      <w:r>
        <w:rPr>
          <w:rFonts w:hint="eastAsia"/>
          <w:b/>
          <w:bCs/>
          <w:color w:val="auto"/>
          <w:highlight w:val="none"/>
        </w:rPr>
        <w:t>（2）立项程序规范性</w:t>
      </w:r>
    </w:p>
    <w:p w14:paraId="5946AE11">
      <w:pPr>
        <w:ind w:firstLine="560"/>
        <w:rPr>
          <w:color w:val="auto"/>
          <w:highlight w:val="none"/>
        </w:rPr>
      </w:pPr>
      <w:r>
        <w:rPr>
          <w:rFonts w:hint="eastAsia"/>
          <w:color w:val="auto"/>
          <w:highlight w:val="none"/>
        </w:rPr>
        <w:t>本项目2024年中央补助地方博物馆纪念馆逐步免费开放专项资金，项目立项过程中产生的文件均符合</w:t>
      </w:r>
      <w:r>
        <w:rPr>
          <w:rFonts w:hint="eastAsia"/>
          <w:color w:val="auto"/>
          <w:highlight w:val="none"/>
          <w:lang w:eastAsia="zh-Hans"/>
        </w:rPr>
        <w:t>相关要求</w:t>
      </w:r>
      <w:r>
        <w:rPr>
          <w:rFonts w:hint="eastAsia"/>
          <w:color w:val="auto"/>
          <w:highlight w:val="none"/>
        </w:rPr>
        <w:t>。本</w:t>
      </w:r>
      <w:r>
        <w:rPr>
          <w:rFonts w:hint="eastAsia"/>
          <w:color w:val="auto"/>
          <w:highlight w:val="none"/>
          <w:lang w:eastAsia="zh-Hans"/>
        </w:rPr>
        <w:t>项目为</w:t>
      </w:r>
      <w:r>
        <w:rPr>
          <w:rFonts w:hint="eastAsia"/>
          <w:color w:val="auto"/>
          <w:highlight w:val="none"/>
          <w:lang w:eastAsia="zh-CN"/>
        </w:rPr>
        <w:t>运转</w:t>
      </w:r>
      <w:r>
        <w:rPr>
          <w:rFonts w:hint="eastAsia"/>
          <w:color w:val="auto"/>
          <w:highlight w:val="none"/>
          <w:lang w:eastAsia="zh-Hans"/>
        </w:rPr>
        <w:t>类项目，</w:t>
      </w:r>
      <w:r>
        <w:rPr>
          <w:rFonts w:hint="eastAsia"/>
          <w:color w:val="auto"/>
          <w:highlight w:val="none"/>
        </w:rPr>
        <w:t>属于经常性项目，</w:t>
      </w:r>
      <w:r>
        <w:rPr>
          <w:rFonts w:hint="eastAsia"/>
          <w:color w:val="auto"/>
          <w:highlight w:val="none"/>
          <w:lang w:eastAsia="zh-Hans"/>
        </w:rPr>
        <w:t>项目预算金额为</w:t>
      </w:r>
      <w:r>
        <w:rPr>
          <w:rFonts w:hint="eastAsia"/>
          <w:color w:val="auto"/>
          <w:highlight w:val="none"/>
          <w:lang w:val="en-US" w:eastAsia="zh-CN"/>
        </w:rPr>
        <w:t>30</w:t>
      </w:r>
      <w:r>
        <w:rPr>
          <w:rFonts w:hint="eastAsia"/>
          <w:color w:val="auto"/>
          <w:highlight w:val="none"/>
          <w:lang w:eastAsia="zh-Hans"/>
        </w:rPr>
        <w:t>万元，不涉及</w:t>
      </w:r>
      <w:r>
        <w:rPr>
          <w:rFonts w:hint="eastAsia"/>
          <w:color w:val="auto"/>
          <w:highlight w:val="none"/>
        </w:rPr>
        <w:t>事前绩效评估和风险评估，已委托</w:t>
      </w:r>
      <w:r>
        <w:rPr>
          <w:rFonts w:hint="eastAsia"/>
          <w:color w:val="auto"/>
          <w:highlight w:val="none"/>
          <w:lang w:eastAsia="zh-CN"/>
        </w:rPr>
        <w:t>和静县东归博物馆</w:t>
      </w:r>
      <w:r>
        <w:rPr>
          <w:rFonts w:hint="eastAsia"/>
          <w:color w:val="auto"/>
          <w:highlight w:val="none"/>
        </w:rPr>
        <w:t>完成本项目</w:t>
      </w:r>
      <w:r>
        <w:rPr>
          <w:rFonts w:hint="eastAsia"/>
          <w:color w:val="auto"/>
          <w:highlight w:val="none"/>
          <w:lang w:eastAsia="zh-Hans"/>
        </w:rPr>
        <w:t>可行性研究</w:t>
      </w:r>
      <w:r>
        <w:rPr>
          <w:rFonts w:hint="eastAsia"/>
          <w:color w:val="auto"/>
          <w:highlight w:val="none"/>
        </w:rPr>
        <w:t>报告的编制，并经过</w:t>
      </w:r>
      <w:r>
        <w:rPr>
          <w:rFonts w:hint="eastAsia"/>
          <w:color w:val="auto"/>
          <w:highlight w:val="none"/>
          <w:lang w:eastAsia="zh-Hans"/>
        </w:rPr>
        <w:t>专家论证</w:t>
      </w:r>
      <w:r>
        <w:rPr>
          <w:rFonts w:hint="eastAsia"/>
          <w:color w:val="auto"/>
          <w:highlight w:val="none"/>
          <w:lang w:eastAsia="zh-CN"/>
        </w:rPr>
        <w:t>、</w:t>
      </w:r>
      <w:r>
        <w:rPr>
          <w:rFonts w:hint="eastAsia"/>
          <w:color w:val="auto"/>
          <w:highlight w:val="none"/>
        </w:rPr>
        <w:t>集体决策</w:t>
      </w:r>
      <w:r>
        <w:rPr>
          <w:rFonts w:hint="eastAsia"/>
          <w:color w:val="auto"/>
          <w:highlight w:val="none"/>
        </w:rPr>
        <w:t>。</w:t>
      </w:r>
    </w:p>
    <w:p w14:paraId="3CD6AAE2">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，本项目立项程序合规。</w:t>
      </w:r>
    </w:p>
    <w:p w14:paraId="75D47594">
      <w:pPr>
        <w:pStyle w:val="4"/>
        <w:ind w:firstLine="562"/>
        <w:rPr>
          <w:color w:val="auto"/>
          <w:highlight w:val="none"/>
        </w:rPr>
      </w:pPr>
      <w:r>
        <w:rPr>
          <w:rFonts w:hint="eastAsia"/>
          <w:color w:val="auto"/>
          <w:highlight w:val="none"/>
        </w:rPr>
        <w:t>2.绩效目标情况分析</w:t>
      </w:r>
    </w:p>
    <w:p w14:paraId="12D85D7C">
      <w:pPr>
        <w:ind w:firstLine="562"/>
        <w:rPr>
          <w:b/>
          <w:bCs/>
          <w:color w:val="auto"/>
          <w:highlight w:val="none"/>
        </w:rPr>
      </w:pPr>
      <w:r>
        <w:rPr>
          <w:rFonts w:hint="eastAsia"/>
          <w:b/>
          <w:bCs/>
          <w:color w:val="auto"/>
          <w:highlight w:val="none"/>
        </w:rPr>
        <w:t>（1）绩效目标合理性</w:t>
      </w:r>
    </w:p>
    <w:p w14:paraId="2ABEA4CB">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color w:val="auto"/>
          <w:highlight w:val="none"/>
        </w:rPr>
      </w:pPr>
      <w:r>
        <w:rPr>
          <w:rFonts w:hint="eastAsia"/>
          <w:color w:val="auto"/>
          <w:highlight w:val="none"/>
        </w:rPr>
        <w:t>本项目已设置年度绩效目标，具体内容为“2024年免费开放专项资金用于6个展厅及满汗王府旧址陈列展厅日常维护，发放3个聘用人员工资及社保，开展5.18流动博物馆活动，实现全年365天免费开放达到丰富群众文化知识。培养青少年的爱国主义情操，不断弘扬传承优秀传统文化，大力培育社会主义核心价值观，有效保障各族群众精神文化需求，促进社会和谐稳定的成效。”；本项目实际工作为：截止到2024年12月，经费已完成一家场馆运行免费开放350天，开展纪念日及教育活动65场</w:t>
      </w:r>
      <w:r>
        <w:rPr>
          <w:rFonts w:hint="eastAsia"/>
          <w:color w:val="auto"/>
          <w:highlight w:val="none"/>
          <w:lang w:eastAsia="zh-CN"/>
        </w:rPr>
        <w:t>开展活动及时率达100%，展厅日常维护及经费活动12.84万元</w:t>
      </w:r>
      <w:r>
        <w:rPr>
          <w:rFonts w:hint="eastAsia"/>
          <w:color w:val="auto"/>
          <w:highlight w:val="none"/>
        </w:rPr>
        <w:t>，发放聘用人员工资及社保16.98万元。</w:t>
      </w:r>
    </w:p>
    <w:p w14:paraId="560F0586">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color w:val="auto"/>
          <w:highlight w:val="none"/>
          <w:lang w:eastAsia="zh-Hans"/>
        </w:rPr>
      </w:pPr>
      <w:r>
        <w:rPr>
          <w:rFonts w:hint="eastAsia"/>
          <w:color w:val="auto"/>
          <w:highlight w:val="none"/>
        </w:rPr>
        <w:t>培养青少年的爱国主义情操，不断弘扬传承优秀传统文化，大力培育社会主义核心价值观，有效保障各族群众精神文化需求，促进社会和谐稳定的成效。免费开放工作按计划完成，参观者及工作人员满意度达9</w:t>
      </w:r>
      <w:r>
        <w:rPr>
          <w:rFonts w:hint="eastAsia"/>
          <w:color w:val="auto"/>
          <w:highlight w:val="none"/>
          <w:lang w:val="en-US" w:eastAsia="zh-CN"/>
        </w:rPr>
        <w:t>6</w:t>
      </w:r>
      <w:r>
        <w:rPr>
          <w:rFonts w:hint="eastAsia"/>
          <w:color w:val="auto"/>
          <w:highlight w:val="none"/>
        </w:rPr>
        <w:t>%。绩效目标与实际工作内容一致，两者具有相关性;本项目</w:t>
      </w:r>
      <w:r>
        <w:rPr>
          <w:rFonts w:hint="eastAsia"/>
          <w:color w:val="auto"/>
          <w:highlight w:val="none"/>
          <w:lang w:eastAsia="zh-Hans"/>
        </w:rPr>
        <w:t>按照绩效目标完成数量指标、质量指标、时效指标、成本指标，有效保障了</w:t>
      </w:r>
      <w:r>
        <w:rPr>
          <w:rFonts w:hint="eastAsia"/>
          <w:color w:val="auto"/>
          <w:highlight w:val="none"/>
          <w:lang w:eastAsia="zh-CN"/>
        </w:rPr>
        <w:t>项目完整性</w:t>
      </w:r>
      <w:r>
        <w:rPr>
          <w:rFonts w:hint="eastAsia"/>
          <w:color w:val="auto"/>
          <w:highlight w:val="none"/>
          <w:lang w:eastAsia="zh-Hans"/>
        </w:rPr>
        <w:t>，年度绩效目标完成，预期产出效益和效果符合正常的业绩水平。</w:t>
      </w:r>
      <w:r>
        <w:rPr>
          <w:color w:val="auto"/>
          <w:highlight w:val="none"/>
        </w:rPr>
        <w:t>该项目批复</w:t>
      </w:r>
      <w:r>
        <w:rPr>
          <w:rFonts w:hint="eastAsia"/>
          <w:color w:val="auto"/>
          <w:highlight w:val="none"/>
          <w:lang w:eastAsia="zh-CN"/>
        </w:rPr>
        <w:t>的</w:t>
      </w:r>
      <w:r>
        <w:rPr>
          <w:color w:val="auto"/>
          <w:highlight w:val="none"/>
        </w:rPr>
        <w:t>预算金额为</w:t>
      </w:r>
      <w:r>
        <w:rPr>
          <w:rFonts w:hint="eastAsia"/>
          <w:color w:val="auto"/>
          <w:highlight w:val="none"/>
          <w:lang w:val="en-US" w:eastAsia="zh-CN"/>
        </w:rPr>
        <w:t>30</w:t>
      </w:r>
      <w:r>
        <w:rPr>
          <w:color w:val="auto"/>
          <w:highlight w:val="none"/>
        </w:rPr>
        <w:t>万元</w:t>
      </w:r>
      <w:r>
        <w:rPr>
          <w:color w:val="auto"/>
          <w:highlight w:val="none"/>
        </w:rPr>
        <w:t>，《财政项目支出绩效目标表</w:t>
      </w:r>
      <w:r>
        <w:rPr>
          <w:rFonts w:hint="eastAsia"/>
          <w:color w:val="auto"/>
          <w:highlight w:val="none"/>
        </w:rPr>
        <w:t>》</w:t>
      </w:r>
      <w:r>
        <w:rPr>
          <w:color w:val="auto"/>
          <w:highlight w:val="none"/>
        </w:rPr>
        <w:t>中</w:t>
      </w:r>
      <w:r>
        <w:rPr>
          <w:rFonts w:hint="eastAsia"/>
          <w:color w:val="auto"/>
          <w:highlight w:val="none"/>
          <w:lang w:val="en-US" w:eastAsia="zh-CN"/>
        </w:rPr>
        <w:t>全年</w:t>
      </w:r>
      <w:r>
        <w:rPr>
          <w:color w:val="auto"/>
          <w:highlight w:val="none"/>
        </w:rPr>
        <w:t>预算金额为</w:t>
      </w:r>
      <w:r>
        <w:rPr>
          <w:rFonts w:hint="eastAsia"/>
          <w:color w:val="auto"/>
          <w:highlight w:val="none"/>
          <w:lang w:val="en-US" w:eastAsia="zh-CN"/>
        </w:rPr>
        <w:t>30</w:t>
      </w:r>
      <w:r>
        <w:rPr>
          <w:color w:val="auto"/>
          <w:highlight w:val="none"/>
        </w:rPr>
        <w:t>万元</w:t>
      </w:r>
      <w:r>
        <w:rPr>
          <w:color w:val="auto"/>
          <w:highlight w:val="none"/>
        </w:rPr>
        <w:t>，</w:t>
      </w:r>
      <w:r>
        <w:rPr>
          <w:rFonts w:hint="eastAsia"/>
          <w:color w:val="auto"/>
          <w:highlight w:val="none"/>
        </w:rPr>
        <w:t>预算确定的</w:t>
      </w:r>
      <w:r>
        <w:rPr>
          <w:rFonts w:hint="eastAsia"/>
          <w:color w:val="auto"/>
          <w:highlight w:val="none"/>
        </w:rPr>
        <w:t>项目资金与预算确定的</w:t>
      </w:r>
      <w:r>
        <w:rPr>
          <w:rFonts w:hint="eastAsia"/>
          <w:color w:val="auto"/>
          <w:highlight w:val="none"/>
          <w:lang w:val="en-US" w:eastAsia="zh-CN"/>
        </w:rPr>
        <w:t>项目投资额相匹配</w:t>
      </w:r>
      <w:r>
        <w:rPr>
          <w:rFonts w:hint="eastAsia"/>
          <w:color w:val="auto"/>
          <w:highlight w:val="none"/>
          <w:lang w:val="en-US" w:eastAsia="zh-CN"/>
        </w:rPr>
        <w:t>。</w:t>
      </w:r>
    </w:p>
    <w:p w14:paraId="297C5F53">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，本项目绩效目标设置合理。</w:t>
      </w:r>
    </w:p>
    <w:p w14:paraId="4940F329">
      <w:pPr>
        <w:ind w:firstLine="562"/>
        <w:rPr>
          <w:b/>
          <w:bCs/>
          <w:color w:val="auto"/>
          <w:highlight w:val="none"/>
        </w:rPr>
      </w:pPr>
      <w:r>
        <w:rPr>
          <w:rFonts w:hint="eastAsia"/>
          <w:b/>
          <w:bCs/>
          <w:color w:val="auto"/>
          <w:highlight w:val="none"/>
        </w:rPr>
        <w:t>（2）绩效指标明确性</w:t>
      </w:r>
    </w:p>
    <w:p w14:paraId="4AD2D5E8">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项目已将年度绩效目标进行细化为绩效指标体系，共设置一级指标3个，二级指标</w:t>
      </w:r>
      <w:r>
        <w:rPr>
          <w:rFonts w:hint="eastAsia"/>
          <w:color w:val="auto"/>
          <w:highlight w:val="none"/>
          <w:lang w:val="en-US" w:eastAsia="zh-CN"/>
        </w:rPr>
        <w:t>6</w:t>
      </w:r>
      <w:r>
        <w:rPr>
          <w:rFonts w:hint="eastAsia"/>
          <w:color w:val="auto"/>
          <w:highlight w:val="none"/>
          <w:lang w:eastAsia="zh-Hans"/>
        </w:rPr>
        <w:t>个，三级指标</w:t>
      </w:r>
      <w:r>
        <w:rPr>
          <w:rFonts w:hint="eastAsia"/>
          <w:color w:val="auto"/>
          <w:highlight w:val="none"/>
          <w:lang w:val="en-US" w:eastAsia="zh-CN"/>
        </w:rPr>
        <w:t>10</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9</w:t>
      </w:r>
      <w:r>
        <w:rPr>
          <w:rFonts w:hint="eastAsia"/>
          <w:color w:val="auto"/>
          <w:highlight w:val="none"/>
          <w:lang w:eastAsia="zh-Hans"/>
        </w:rPr>
        <w:t>个，定性指标</w:t>
      </w:r>
      <w:r>
        <w:rPr>
          <w:rFonts w:hint="eastAsia"/>
          <w:color w:val="auto"/>
          <w:highlight w:val="none"/>
          <w:lang w:val="en-US" w:eastAsia="zh-CN"/>
        </w:rPr>
        <w:t>1</w:t>
      </w:r>
      <w:r>
        <w:rPr>
          <w:rFonts w:hint="eastAsia"/>
          <w:color w:val="auto"/>
          <w:highlight w:val="none"/>
          <w:lang w:eastAsia="zh-Hans"/>
        </w:rPr>
        <w:t>个，指标量化率为</w:t>
      </w:r>
      <w:r>
        <w:rPr>
          <w:rFonts w:hint="eastAsia"/>
          <w:color w:val="auto"/>
          <w:highlight w:val="none"/>
          <w:lang w:val="en-US" w:eastAsia="zh-CN"/>
        </w:rPr>
        <w:t>90</w:t>
      </w:r>
      <w:r>
        <w:rPr>
          <w:rFonts w:hint="eastAsia"/>
          <w:color w:val="auto"/>
          <w:highlight w:val="none"/>
          <w:lang w:eastAsia="zh-Hans"/>
        </w:rPr>
        <w:t>%，量化率达70%以上</w:t>
      </w:r>
      <w:r>
        <w:rPr>
          <w:rFonts w:hint="eastAsia"/>
          <w:color w:val="auto"/>
          <w:highlight w:val="none"/>
        </w:rPr>
        <w:t>。</w:t>
      </w:r>
      <w:r>
        <w:rPr>
          <w:rFonts w:hint="eastAsia"/>
          <w:color w:val="auto"/>
          <w:highlight w:val="none"/>
          <w:lang w:val="en-US" w:eastAsia="zh-CN"/>
        </w:rPr>
        <w:t>根据</w:t>
      </w:r>
      <w:r>
        <w:rPr>
          <w:rFonts w:hint="eastAsia"/>
          <w:color w:val="auto"/>
          <w:highlight w:val="none"/>
          <w:lang w:eastAsia="zh-CN"/>
        </w:rPr>
        <w:t>《项目支出绩效目标表》，</w:t>
      </w:r>
      <w:r>
        <w:rPr>
          <w:rFonts w:hint="eastAsia"/>
          <w:color w:val="auto"/>
          <w:highlight w:val="none"/>
          <w:lang w:val="en-US" w:eastAsia="zh-CN"/>
        </w:rPr>
        <w:t>我单位各项三级指标</w:t>
      </w:r>
      <w:r>
        <w:rPr>
          <w:rFonts w:hint="eastAsia"/>
          <w:color w:val="auto"/>
          <w:highlight w:val="none"/>
          <w:lang w:eastAsia="zh-CN"/>
        </w:rPr>
        <w:t>通过清晰、可衡量的指标值予以体现；</w:t>
      </w:r>
      <w:r>
        <w:rPr>
          <w:rFonts w:hint="eastAsia"/>
          <w:color w:val="auto"/>
          <w:highlight w:val="none"/>
          <w:lang w:eastAsia="zh-CN"/>
        </w:rPr>
        <w:t>三级指标的年度指标值与年度绩效目标中任务数一致。</w:t>
      </w:r>
    </w:p>
    <w:p w14:paraId="4F4E1BBC">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，本项目所设置绩效指标明确。</w:t>
      </w:r>
    </w:p>
    <w:p w14:paraId="6B068BD5">
      <w:pPr>
        <w:pStyle w:val="4"/>
        <w:ind w:firstLine="562"/>
        <w:rPr>
          <w:color w:val="auto"/>
          <w:highlight w:val="none"/>
        </w:rPr>
      </w:pPr>
      <w:r>
        <w:rPr>
          <w:rFonts w:hint="eastAsia"/>
          <w:color w:val="auto"/>
          <w:highlight w:val="none"/>
        </w:rPr>
        <w:t>3.资金投入情况分析</w:t>
      </w:r>
    </w:p>
    <w:p w14:paraId="189A7FAE">
      <w:pPr>
        <w:ind w:firstLine="562"/>
        <w:rPr>
          <w:b/>
          <w:bCs/>
          <w:color w:val="auto"/>
          <w:highlight w:val="none"/>
          <w:lang w:eastAsia="zh-Hans" w:bidi="ar"/>
        </w:rPr>
      </w:pPr>
      <w:r>
        <w:rPr>
          <w:rFonts w:hint="eastAsia"/>
          <w:b/>
          <w:bCs/>
          <w:color w:val="auto"/>
          <w:highlight w:val="none"/>
          <w:lang w:eastAsia="zh-Hans" w:bidi="ar"/>
        </w:rPr>
        <w:t>（1）预算编制科学性</w:t>
      </w:r>
    </w:p>
    <w:p w14:paraId="154E658D">
      <w:pPr>
        <w:ind w:firstLine="560"/>
        <w:rPr>
          <w:color w:val="auto"/>
          <w:highlight w:val="none"/>
          <w:lang w:bidi="ar"/>
        </w:rPr>
      </w:pPr>
      <w:r>
        <w:rPr>
          <w:rFonts w:hint="eastAsia"/>
          <w:color w:val="auto"/>
          <w:highlight w:val="none"/>
          <w:lang w:bidi="ar"/>
        </w:rPr>
        <w:t>本</w:t>
      </w:r>
      <w:r>
        <w:rPr>
          <w:rFonts w:hint="eastAsia"/>
          <w:color w:val="auto"/>
          <w:highlight w:val="none"/>
          <w:lang w:eastAsia="zh-Hans" w:bidi="ar"/>
        </w:rPr>
        <w:t>项目预算编制通过</w:t>
      </w:r>
      <w:r>
        <w:rPr>
          <w:rFonts w:hint="eastAsia"/>
          <w:color w:val="auto"/>
          <w:highlight w:val="none"/>
          <w:lang w:eastAsia="zh-CN" w:bidi="ar"/>
        </w:rPr>
        <w:t>历年计划</w:t>
      </w:r>
      <w:r>
        <w:rPr>
          <w:rFonts w:hint="eastAsia"/>
          <w:color w:val="auto"/>
          <w:highlight w:val="none"/>
          <w:lang w:eastAsia="zh-Hans" w:bidi="ar"/>
        </w:rPr>
        <w:t>得出，即预算</w:t>
      </w:r>
      <w:r>
        <w:rPr>
          <w:rFonts w:hint="eastAsia"/>
          <w:color w:val="auto"/>
          <w:highlight w:val="none"/>
          <w:lang w:bidi="ar"/>
        </w:rPr>
        <w:t>编制</w:t>
      </w:r>
      <w:r>
        <w:rPr>
          <w:rFonts w:hint="eastAsia"/>
          <w:color w:val="auto"/>
          <w:highlight w:val="none"/>
          <w:lang w:eastAsia="zh-Hans" w:bidi="ar"/>
        </w:rPr>
        <w:t>较科学且经过论证</w:t>
      </w:r>
      <w:r>
        <w:rPr>
          <w:rFonts w:hint="eastAsia"/>
          <w:color w:val="auto"/>
          <w:highlight w:val="none"/>
          <w:lang w:bidi="ar"/>
        </w:rPr>
        <w:t>；</w:t>
      </w:r>
    </w:p>
    <w:p w14:paraId="53AD634E">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color w:val="auto"/>
          <w:highlight w:val="none"/>
        </w:rPr>
      </w:pPr>
      <w:r>
        <w:rPr>
          <w:rFonts w:hint="eastAsia"/>
          <w:color w:val="auto"/>
          <w:highlight w:val="none"/>
          <w:lang w:eastAsia="zh-Hans" w:bidi="ar"/>
        </w:rPr>
        <w:t>预算申请内容为</w:t>
      </w:r>
      <w:r>
        <w:rPr>
          <w:rFonts w:hint="eastAsia"/>
          <w:color w:val="auto"/>
          <w:highlight w:val="none"/>
        </w:rPr>
        <w:t>2024年免费开放专项资金用于6个展厅及满汗王府旧址陈列展厅日常维护，发放3个聘用人员工资及社保，开展5.18流动博物馆活动，实现全年365天免费开放达到丰富群众文化知识。培养青少年的爱国主义情操，不断弘扬传承优秀传统文化，大力培育社会主义核心价值观，有效保障各族群众精神文化需求，促进社会和谐稳定的成效</w:t>
      </w:r>
      <w:r>
        <w:rPr>
          <w:rFonts w:hint="eastAsia"/>
          <w:color w:val="auto"/>
          <w:highlight w:val="none"/>
          <w:lang w:eastAsia="zh-Hans" w:bidi="ar"/>
        </w:rPr>
        <w:t>，项目实际内容为</w:t>
      </w:r>
      <w:r>
        <w:rPr>
          <w:rFonts w:hint="eastAsia"/>
          <w:color w:val="auto"/>
          <w:highlight w:val="none"/>
        </w:rPr>
        <w:t>截止到2024年12月，经费已完成一家场馆运行免费开放350天，开展纪念日及教育活动65场</w:t>
      </w:r>
      <w:r>
        <w:rPr>
          <w:rFonts w:hint="eastAsia"/>
          <w:color w:val="auto"/>
          <w:highlight w:val="none"/>
          <w:lang w:eastAsia="zh-CN"/>
        </w:rPr>
        <w:t>开展活动及时率达100%，展厅日常维护及经费活动12.84万元</w:t>
      </w:r>
      <w:r>
        <w:rPr>
          <w:rFonts w:hint="eastAsia"/>
          <w:color w:val="auto"/>
          <w:highlight w:val="none"/>
        </w:rPr>
        <w:t>，发放聘用人员工资及社保16.98万元。</w:t>
      </w:r>
    </w:p>
    <w:p w14:paraId="5E3ABF24">
      <w:pPr>
        <w:ind w:firstLine="560"/>
        <w:rPr>
          <w:color w:val="auto"/>
          <w:highlight w:val="none"/>
          <w:lang w:bidi="ar"/>
        </w:rPr>
      </w:pPr>
      <w:r>
        <w:rPr>
          <w:rFonts w:hint="eastAsia"/>
          <w:color w:val="auto"/>
          <w:highlight w:val="none"/>
        </w:rPr>
        <w:t>培养青少年的爱国主义情操，不断弘扬传承优秀传统文化，大力培育社会主义核心价值观，有效保障各族群众精神文化需求，促进社会和谐稳定的成效。免费开放工作按计划完成，参观者及工作人员满意度达9</w:t>
      </w:r>
      <w:r>
        <w:rPr>
          <w:rFonts w:hint="eastAsia"/>
          <w:color w:val="auto"/>
          <w:highlight w:val="none"/>
          <w:lang w:val="en-US" w:eastAsia="zh-CN"/>
        </w:rPr>
        <w:t>6</w:t>
      </w:r>
      <w:r>
        <w:rPr>
          <w:rFonts w:hint="eastAsia"/>
          <w:color w:val="auto"/>
          <w:highlight w:val="none"/>
        </w:rPr>
        <w:t>%。</w:t>
      </w:r>
      <w:r>
        <w:rPr>
          <w:rFonts w:hint="eastAsia"/>
          <w:color w:val="auto"/>
          <w:highlight w:val="none"/>
          <w:lang w:eastAsia="zh-Hans" w:bidi="ar"/>
        </w:rPr>
        <w:t>预算申请与</w:t>
      </w:r>
      <w:r>
        <w:rPr>
          <w:rFonts w:hint="eastAsia"/>
          <w:color w:val="auto"/>
          <w:highlight w:val="none"/>
          <w:lang w:eastAsia="zh-Hans"/>
        </w:rPr>
        <w:t>《</w:t>
      </w:r>
      <w:r>
        <w:rPr>
          <w:rFonts w:hint="eastAsia"/>
          <w:color w:val="auto"/>
          <w:highlight w:val="none"/>
        </w:rPr>
        <w:t>巴财教〔2023〕67号关于提前下达2024年中央补助地方博物馆纪念馆免费开放补助资金的通知</w:t>
      </w:r>
      <w:r>
        <w:rPr>
          <w:rFonts w:hint="eastAsia"/>
          <w:color w:val="auto"/>
          <w:highlight w:val="none"/>
          <w:lang w:eastAsia="zh-Hans" w:bidi="ar"/>
        </w:rPr>
        <w:t>》中涉及的项目内容匹配</w:t>
      </w:r>
      <w:r>
        <w:rPr>
          <w:rFonts w:hint="eastAsia"/>
          <w:color w:val="auto"/>
          <w:highlight w:val="none"/>
          <w:lang w:bidi="ar"/>
        </w:rPr>
        <w:t>；</w:t>
      </w:r>
    </w:p>
    <w:p w14:paraId="40A42B1D">
      <w:pPr>
        <w:ind w:firstLine="560"/>
        <w:rPr>
          <w:rFonts w:hint="eastAsia" w:eastAsia="仿宋_GB2312"/>
          <w:color w:val="auto"/>
          <w:highlight w:val="none"/>
          <w:lang w:val="en-US" w:eastAsia="zh-CN" w:bidi="ar"/>
        </w:rPr>
      </w:pPr>
      <w:r>
        <w:rPr>
          <w:rFonts w:hint="eastAsia"/>
          <w:color w:val="auto"/>
          <w:highlight w:val="none"/>
        </w:rPr>
        <w:t>本项目预算申请资金</w:t>
      </w:r>
      <w:r>
        <w:rPr>
          <w:rFonts w:hint="eastAsia"/>
          <w:color w:val="auto"/>
          <w:highlight w:val="none"/>
          <w:lang w:val="en-US" w:eastAsia="zh-CN"/>
        </w:rPr>
        <w:t>30</w:t>
      </w:r>
      <w:r>
        <w:rPr>
          <w:rFonts w:hint="eastAsia"/>
          <w:color w:val="auto"/>
          <w:highlight w:val="none"/>
        </w:rPr>
        <w:t>万元，我单位在预算申请中严格按照单位标准和数量进行核算，其中：</w:t>
      </w:r>
      <w:r>
        <w:rPr>
          <w:rFonts w:hint="eastAsia"/>
          <w:color w:val="auto"/>
          <w:highlight w:val="none"/>
          <w:lang w:eastAsia="zh-CN"/>
        </w:rPr>
        <w:t>展厅日常维护及活动经费12.84万元</w:t>
      </w:r>
      <w:r>
        <w:rPr>
          <w:rFonts w:hint="eastAsia"/>
          <w:color w:val="auto"/>
          <w:highlight w:val="none"/>
        </w:rPr>
        <w:t>，发放聘用人员工资及社保16.98万元</w:t>
      </w:r>
      <w:r>
        <w:rPr>
          <w:rFonts w:hint="eastAsia"/>
          <w:color w:val="auto"/>
          <w:highlight w:val="none"/>
          <w:lang w:eastAsia="zh-CN"/>
        </w:rPr>
        <w:t>，</w:t>
      </w:r>
      <w:r>
        <w:rPr>
          <w:rFonts w:hint="eastAsia"/>
          <w:color w:val="auto"/>
          <w:highlight w:val="none"/>
        </w:rPr>
        <w:t>本项目预算额度测算依据充分，严格按照标准编制，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14:paraId="2F1A93E0">
      <w:pPr>
        <w:ind w:firstLine="560"/>
        <w:rPr>
          <w:color w:val="auto"/>
          <w:highlight w:val="none"/>
          <w:lang w:bidi="ar"/>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，本项目预算编制科学。</w:t>
      </w:r>
    </w:p>
    <w:p w14:paraId="3C946939">
      <w:pPr>
        <w:ind w:firstLine="562"/>
        <w:rPr>
          <w:b/>
          <w:bCs/>
          <w:color w:val="auto"/>
          <w:highlight w:val="none"/>
        </w:rPr>
      </w:pPr>
      <w:r>
        <w:rPr>
          <w:rFonts w:hint="eastAsia"/>
          <w:b/>
          <w:bCs/>
          <w:color w:val="auto"/>
          <w:highlight w:val="none"/>
        </w:rPr>
        <w:t>（2）资金分配合理性</w:t>
      </w:r>
    </w:p>
    <w:p w14:paraId="65A3641D">
      <w:pPr>
        <w:ind w:firstLine="560"/>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《关于</w:t>
      </w:r>
      <w:r>
        <w:rPr>
          <w:rFonts w:hint="eastAsia"/>
          <w:color w:val="auto"/>
          <w:highlight w:val="none"/>
          <w:lang w:bidi="ar"/>
        </w:rPr>
        <w:t>申请</w:t>
      </w:r>
      <w:r>
        <w:rPr>
          <w:rFonts w:hint="eastAsia"/>
          <w:color w:val="auto"/>
          <w:highlight w:val="none"/>
        </w:rPr>
        <w:t>2024年中央补助地方博物馆纪念馆免费开放补助资金</w:t>
      </w:r>
      <w:r>
        <w:rPr>
          <w:rFonts w:hint="eastAsia"/>
          <w:color w:val="auto"/>
          <w:highlight w:val="none"/>
          <w:lang w:bidi="ar"/>
        </w:rPr>
        <w:t>项目资金的请示</w:t>
      </w:r>
      <w:r>
        <w:rPr>
          <w:rFonts w:hint="eastAsia"/>
          <w:color w:val="auto"/>
          <w:highlight w:val="none"/>
          <w:lang w:eastAsia="zh-Hans" w:bidi="ar"/>
        </w:rPr>
        <w:t>》</w:t>
      </w:r>
      <w:r>
        <w:rPr>
          <w:rFonts w:hint="eastAsia"/>
          <w:color w:val="auto"/>
          <w:highlight w:val="none"/>
          <w:lang w:bidi="ar"/>
        </w:rPr>
        <w:t>和《</w:t>
      </w:r>
      <w:r>
        <w:rPr>
          <w:rFonts w:hint="eastAsia"/>
          <w:color w:val="auto"/>
          <w:highlight w:val="none"/>
        </w:rPr>
        <w:t>2024年中央补助地方博物馆纪念馆免费开放补助资金</w:t>
      </w:r>
      <w:r>
        <w:rPr>
          <w:rFonts w:hint="eastAsia"/>
          <w:color w:val="auto"/>
          <w:highlight w:val="none"/>
          <w:lang w:bidi="ar"/>
        </w:rPr>
        <w:t>项目实施方案》</w:t>
      </w:r>
      <w:r>
        <w:rPr>
          <w:rFonts w:hint="eastAsia"/>
          <w:color w:val="auto"/>
          <w:highlight w:val="none"/>
          <w:lang w:eastAsia="zh-Hans" w:bidi="ar"/>
        </w:rPr>
        <w:t>为依据进行资金分配，预算资金分配依据充分</w:t>
      </w:r>
      <w:r>
        <w:rPr>
          <w:rFonts w:hint="eastAsia"/>
          <w:color w:val="auto"/>
          <w:highlight w:val="none"/>
          <w:lang w:bidi="ar"/>
        </w:rPr>
        <w:t>。根据《</w:t>
      </w:r>
      <w:r>
        <w:rPr>
          <w:rFonts w:hint="eastAsia"/>
          <w:color w:val="auto"/>
          <w:highlight w:val="none"/>
        </w:rPr>
        <w:t>巴财教〔2023〕67号关于提前下达2024年中央补助地方博物馆纪念馆免费开放补助资金的通知</w:t>
      </w:r>
      <w:r>
        <w:rPr>
          <w:rFonts w:hint="eastAsia"/>
          <w:color w:val="auto"/>
          <w:highlight w:val="none"/>
          <w:lang w:eastAsia="zh-Hans" w:bidi="ar"/>
        </w:rPr>
        <w:t>》</w:t>
      </w:r>
      <w:r>
        <w:rPr>
          <w:rFonts w:hint="eastAsia"/>
          <w:color w:val="auto"/>
          <w:highlight w:val="none"/>
          <w:lang w:bidi="ar"/>
        </w:rPr>
        <w:t>文件显示，本项目实际到位资金</w:t>
      </w:r>
      <w:r>
        <w:rPr>
          <w:rFonts w:hint="eastAsia"/>
          <w:color w:val="auto"/>
          <w:highlight w:val="none"/>
          <w:lang w:val="en-US" w:eastAsia="zh-CN" w:bidi="ar"/>
        </w:rPr>
        <w:t>30</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14:paraId="5253BD80">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754A6223">
      <w:pPr>
        <w:pStyle w:val="3"/>
        <w:ind w:firstLine="643"/>
        <w:rPr>
          <w:color w:val="auto"/>
          <w:highlight w:val="none"/>
        </w:rPr>
      </w:pPr>
      <w:r>
        <w:rPr>
          <w:rFonts w:hint="eastAsia"/>
          <w:color w:val="auto"/>
          <w:highlight w:val="none"/>
        </w:rPr>
        <w:t>（二）项目过程情况</w:t>
      </w:r>
    </w:p>
    <w:p w14:paraId="12A63A93">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18.96</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41916BA3">
      <w:pPr>
        <w:pStyle w:val="4"/>
        <w:ind w:firstLine="562"/>
        <w:rPr>
          <w:color w:val="auto"/>
          <w:highlight w:val="none"/>
        </w:rPr>
      </w:pPr>
      <w:r>
        <w:rPr>
          <w:rFonts w:hint="eastAsia"/>
          <w:color w:val="auto"/>
          <w:highlight w:val="none"/>
        </w:rPr>
        <w:t>1.资金管理情况分析</w:t>
      </w:r>
    </w:p>
    <w:p w14:paraId="28C55598">
      <w:pPr>
        <w:ind w:firstLine="562"/>
        <w:rPr>
          <w:b/>
          <w:bCs/>
          <w:color w:val="auto"/>
          <w:highlight w:val="none"/>
        </w:rPr>
      </w:pPr>
      <w:r>
        <w:rPr>
          <w:rFonts w:hint="eastAsia"/>
          <w:b/>
          <w:bCs/>
          <w:color w:val="auto"/>
          <w:highlight w:val="none"/>
        </w:rPr>
        <w:t>（1）资金到位率</w:t>
      </w:r>
    </w:p>
    <w:p w14:paraId="65574398">
      <w:pPr>
        <w:ind w:firstLine="560"/>
        <w:rPr>
          <w:color w:val="auto"/>
          <w:highlight w:val="none"/>
        </w:rPr>
      </w:pPr>
      <w:r>
        <w:rPr>
          <w:rFonts w:hint="eastAsia"/>
          <w:color w:val="auto"/>
          <w:highlight w:val="none"/>
        </w:rPr>
        <w:t>本项目预算资金为</w:t>
      </w:r>
      <w:r>
        <w:rPr>
          <w:rFonts w:hint="eastAsia"/>
          <w:color w:val="auto"/>
          <w:highlight w:val="none"/>
          <w:lang w:val="en-US" w:eastAsia="zh-CN"/>
        </w:rPr>
        <w:t>30</w:t>
      </w:r>
      <w:r>
        <w:rPr>
          <w:rFonts w:hint="eastAsia"/>
          <w:color w:val="auto"/>
          <w:highlight w:val="none"/>
        </w:rPr>
        <w:t>万元，其中：本级财政安排资金</w:t>
      </w:r>
      <w:r>
        <w:rPr>
          <w:rFonts w:hint="eastAsia"/>
          <w:color w:val="auto"/>
          <w:highlight w:val="none"/>
          <w:lang w:val="en-US" w:eastAsia="zh-CN"/>
        </w:rPr>
        <w:t>30</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万元，实际到位资金</w:t>
      </w:r>
      <w:r>
        <w:rPr>
          <w:rFonts w:hint="eastAsia"/>
          <w:color w:val="auto"/>
          <w:highlight w:val="none"/>
          <w:lang w:val="en-US" w:eastAsia="zh-CN"/>
        </w:rPr>
        <w:t>30</w:t>
      </w:r>
      <w:r>
        <w:rPr>
          <w:rFonts w:hint="eastAsia"/>
          <w:color w:val="auto"/>
          <w:highlight w:val="none"/>
        </w:rPr>
        <w:t>万元，资金到位率=（实际到位资金/预算资金）×100%=（</w:t>
      </w:r>
      <w:r>
        <w:rPr>
          <w:rFonts w:hint="eastAsia"/>
          <w:color w:val="auto"/>
          <w:highlight w:val="none"/>
          <w:lang w:val="en-US" w:eastAsia="zh-CN"/>
        </w:rPr>
        <w:t>30</w:t>
      </w:r>
      <w:r>
        <w:rPr>
          <w:rFonts w:hint="eastAsia"/>
          <w:color w:val="auto"/>
          <w:highlight w:val="none"/>
        </w:rPr>
        <w:t>/</w:t>
      </w:r>
      <w:r>
        <w:rPr>
          <w:rFonts w:hint="eastAsia"/>
          <w:color w:val="auto"/>
          <w:highlight w:val="none"/>
          <w:lang w:val="en-US" w:eastAsia="zh-CN"/>
        </w:rPr>
        <w:t>30</w:t>
      </w:r>
      <w:r>
        <w:rPr>
          <w:rFonts w:hint="eastAsia"/>
          <w:color w:val="auto"/>
          <w:highlight w:val="none"/>
        </w:rPr>
        <w:t>）*100%=</w:t>
      </w:r>
      <w:r>
        <w:rPr>
          <w:rFonts w:hint="eastAsia"/>
          <w:color w:val="auto"/>
          <w:highlight w:val="none"/>
          <w:lang w:val="en-US" w:eastAsia="zh-CN"/>
        </w:rPr>
        <w:t>100</w:t>
      </w:r>
      <w:r>
        <w:rPr>
          <w:rFonts w:hint="eastAsia"/>
          <w:color w:val="auto"/>
          <w:highlight w:val="none"/>
        </w:rPr>
        <w:t>%。得分=资金到位率*分值=</w:t>
      </w:r>
      <w:r>
        <w:rPr>
          <w:rFonts w:hint="eastAsia"/>
          <w:color w:val="auto"/>
          <w:highlight w:val="none"/>
          <w:lang w:val="en-US" w:eastAsia="zh-CN"/>
        </w:rPr>
        <w:t>100</w:t>
      </w:r>
      <w:r>
        <w:rPr>
          <w:rFonts w:hint="eastAsia"/>
          <w:color w:val="auto"/>
          <w:highlight w:val="none"/>
        </w:rPr>
        <w:t>%*2=</w:t>
      </w:r>
      <w:r>
        <w:rPr>
          <w:rFonts w:hint="eastAsia"/>
          <w:color w:val="auto"/>
          <w:highlight w:val="none"/>
          <w:lang w:val="en-US" w:eastAsia="zh-CN"/>
        </w:rPr>
        <w:t>2</w:t>
      </w:r>
      <w:r>
        <w:rPr>
          <w:rFonts w:hint="eastAsia"/>
          <w:color w:val="auto"/>
          <w:highlight w:val="none"/>
        </w:rPr>
        <w:t>分。</w:t>
      </w:r>
    </w:p>
    <w:p w14:paraId="6BE39D4D">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71064138">
      <w:pPr>
        <w:ind w:firstLine="562"/>
        <w:rPr>
          <w:color w:val="auto"/>
          <w:highlight w:val="none"/>
        </w:rPr>
      </w:pPr>
      <w:r>
        <w:rPr>
          <w:rFonts w:hint="eastAsia"/>
          <w:b/>
          <w:bCs/>
          <w:color w:val="auto"/>
          <w:highlight w:val="none"/>
        </w:rPr>
        <w:t>（2）预算执行率</w:t>
      </w:r>
    </w:p>
    <w:p w14:paraId="1211F7BB">
      <w:pPr>
        <w:ind w:firstLine="560"/>
        <w:rPr>
          <w:color w:val="auto"/>
          <w:highlight w:val="none"/>
        </w:rPr>
      </w:pPr>
      <w:r>
        <w:rPr>
          <w:rFonts w:hint="eastAsia"/>
          <w:color w:val="auto"/>
          <w:highlight w:val="none"/>
        </w:rPr>
        <w:t>本项目实际支出资金</w:t>
      </w:r>
      <w:r>
        <w:rPr>
          <w:rFonts w:hint="eastAsia"/>
          <w:color w:val="auto"/>
          <w:highlight w:val="none"/>
          <w:lang w:val="en-US" w:eastAsia="zh-CN"/>
        </w:rPr>
        <w:t>30</w:t>
      </w:r>
      <w:r>
        <w:rPr>
          <w:rFonts w:hint="eastAsia"/>
          <w:color w:val="auto"/>
          <w:highlight w:val="none"/>
        </w:rPr>
        <w:t>万元，</w:t>
      </w:r>
      <w:r>
        <w:rPr>
          <w:rFonts w:hint="eastAsia"/>
          <w:color w:val="auto"/>
          <w:highlight w:val="none"/>
          <w:lang w:eastAsia="zh-Hans"/>
        </w:rPr>
        <w:t>预算执行率=（实际支出资金/实际到位资金）×100%=</w:t>
      </w:r>
      <w:r>
        <w:rPr>
          <w:rFonts w:hint="eastAsia"/>
          <w:color w:val="auto"/>
          <w:highlight w:val="none"/>
        </w:rPr>
        <w:t>（</w:t>
      </w:r>
      <w:r>
        <w:rPr>
          <w:rFonts w:hint="eastAsia"/>
          <w:color w:val="auto"/>
          <w:highlight w:val="none"/>
          <w:lang w:val="en-US" w:eastAsia="zh-CN"/>
        </w:rPr>
        <w:t>29.82</w:t>
      </w:r>
      <w:r>
        <w:rPr>
          <w:rFonts w:hint="eastAsia"/>
          <w:color w:val="auto"/>
          <w:highlight w:val="none"/>
        </w:rPr>
        <w:t>/</w:t>
      </w:r>
      <w:r>
        <w:rPr>
          <w:rFonts w:hint="eastAsia"/>
          <w:color w:val="auto"/>
          <w:highlight w:val="none"/>
          <w:lang w:val="en-US" w:eastAsia="zh-CN"/>
        </w:rPr>
        <w:t>30</w:t>
      </w:r>
      <w:r>
        <w:rPr>
          <w:rFonts w:hint="eastAsia"/>
          <w:color w:val="auto"/>
          <w:highlight w:val="none"/>
        </w:rPr>
        <w:t>）*</w:t>
      </w:r>
      <w:r>
        <w:rPr>
          <w:rFonts w:hint="eastAsia"/>
          <w:color w:val="auto"/>
          <w:highlight w:val="none"/>
          <w:lang w:val="en-US" w:eastAsia="zh-CN"/>
        </w:rPr>
        <w:t>100</w:t>
      </w:r>
      <w:r>
        <w:rPr>
          <w:rFonts w:hint="eastAsia"/>
          <w:color w:val="auto"/>
          <w:highlight w:val="none"/>
        </w:rPr>
        <w:t>%=</w:t>
      </w:r>
      <w:r>
        <w:rPr>
          <w:rFonts w:hint="eastAsia"/>
          <w:color w:val="auto"/>
          <w:highlight w:val="none"/>
          <w:lang w:val="en-US" w:eastAsia="zh-CN"/>
        </w:rPr>
        <w:t>99.4</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99.4</w:t>
      </w:r>
      <w:r>
        <w:rPr>
          <w:rFonts w:hint="eastAsia"/>
          <w:color w:val="auto"/>
          <w:highlight w:val="none"/>
        </w:rPr>
        <w:t>%*7=</w:t>
      </w:r>
      <w:r>
        <w:rPr>
          <w:rFonts w:hint="eastAsia"/>
          <w:color w:val="auto"/>
          <w:highlight w:val="none"/>
          <w:lang w:val="en-US" w:eastAsia="zh-CN"/>
        </w:rPr>
        <w:t>6.96</w:t>
      </w:r>
      <w:r>
        <w:rPr>
          <w:rFonts w:hint="eastAsia"/>
          <w:color w:val="auto"/>
          <w:highlight w:val="none"/>
        </w:rPr>
        <w:t>分。</w:t>
      </w:r>
    </w:p>
    <w:p w14:paraId="5AC85C4F">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6.96</w:t>
      </w:r>
      <w:r>
        <w:rPr>
          <w:rFonts w:hint="eastAsia"/>
          <w:color w:val="auto"/>
          <w:highlight w:val="none"/>
          <w:lang w:eastAsia="zh-Hans"/>
        </w:rPr>
        <w:t>分</w:t>
      </w:r>
      <w:r>
        <w:rPr>
          <w:rFonts w:hint="eastAsia"/>
          <w:color w:val="auto"/>
          <w:highlight w:val="none"/>
        </w:rPr>
        <w:t>，本项目资金分配合理。</w:t>
      </w:r>
    </w:p>
    <w:p w14:paraId="453A0B0F">
      <w:pPr>
        <w:ind w:firstLine="562"/>
        <w:rPr>
          <w:b/>
          <w:bCs/>
          <w:color w:val="auto"/>
          <w:highlight w:val="none"/>
        </w:rPr>
      </w:pPr>
      <w:r>
        <w:rPr>
          <w:rFonts w:hint="eastAsia"/>
          <w:b/>
          <w:bCs/>
          <w:color w:val="auto"/>
          <w:highlight w:val="none"/>
        </w:rPr>
        <w:t>（3）资金使用合规性</w:t>
      </w:r>
    </w:p>
    <w:p w14:paraId="0FAEE34B">
      <w:pPr>
        <w:ind w:firstLine="560"/>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《政府会计制度》以及</w:t>
      </w:r>
      <w:r>
        <w:rPr>
          <w:color w:val="auto"/>
          <w:highlight w:val="none"/>
        </w:rPr>
        <w:t>《</w:t>
      </w:r>
      <w:r>
        <w:rPr>
          <w:rFonts w:hint="eastAsia"/>
          <w:color w:val="auto"/>
          <w:highlight w:val="none"/>
        </w:rPr>
        <w:t>博物馆纪念馆免费开放补助资金</w:t>
      </w:r>
      <w:r>
        <w:rPr>
          <w:color w:val="auto"/>
          <w:highlight w:val="none"/>
        </w:rPr>
        <w:t>资金管理办法》</w:t>
      </w:r>
      <w:r>
        <w:rPr>
          <w:rFonts w:hint="eastAsia"/>
          <w:color w:val="auto"/>
          <w:highlight w:val="none"/>
          <w:lang w:eastAsia="zh-CN"/>
        </w:rPr>
        <w:t>《</w:t>
      </w:r>
      <w:r>
        <w:rPr>
          <w:rFonts w:hint="eastAsia"/>
          <w:color w:val="auto"/>
          <w:highlight w:val="none"/>
        </w:rPr>
        <w:t>博物馆纪念馆免费开放补助资金</w:t>
      </w:r>
      <w:r>
        <w:rPr>
          <w:rFonts w:hint="eastAsia"/>
          <w:color w:val="auto"/>
          <w:highlight w:val="none"/>
          <w:lang w:val="en-US" w:eastAsia="zh-CN"/>
        </w:rPr>
        <w:t>专项资金管理办法</w:t>
      </w:r>
      <w:r>
        <w:rPr>
          <w:rFonts w:hint="eastAsia"/>
          <w:color w:val="auto"/>
          <w:highlight w:val="none"/>
          <w:lang w:eastAsia="zh-CN"/>
        </w:rPr>
        <w:t>》</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14:paraId="0EBC4A98">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14:paraId="4461F353">
      <w:pPr>
        <w:pStyle w:val="4"/>
        <w:ind w:firstLine="562"/>
        <w:rPr>
          <w:color w:val="auto"/>
          <w:highlight w:val="none"/>
        </w:rPr>
      </w:pPr>
      <w:r>
        <w:rPr>
          <w:rFonts w:hint="eastAsia"/>
          <w:color w:val="auto"/>
          <w:highlight w:val="none"/>
        </w:rPr>
        <w:t>2.组织实施情况分析</w:t>
      </w:r>
    </w:p>
    <w:p w14:paraId="76AFA9EB">
      <w:pPr>
        <w:ind w:firstLine="562"/>
        <w:rPr>
          <w:b/>
          <w:bCs/>
          <w:color w:val="auto"/>
          <w:highlight w:val="none"/>
        </w:rPr>
      </w:pPr>
      <w:r>
        <w:rPr>
          <w:rFonts w:hint="eastAsia"/>
          <w:b/>
          <w:bCs/>
          <w:color w:val="auto"/>
          <w:highlight w:val="none"/>
        </w:rPr>
        <w:t>（1）管理制度健全性</w:t>
      </w:r>
    </w:p>
    <w:p w14:paraId="43633CCF">
      <w:pPr>
        <w:ind w:firstLine="560"/>
        <w:rPr>
          <w:color w:val="auto"/>
          <w:highlight w:val="none"/>
          <w:lang w:eastAsia="zh-Hans"/>
        </w:rPr>
      </w:pPr>
      <w:r>
        <w:rPr>
          <w:rFonts w:hint="eastAsia"/>
          <w:color w:val="auto"/>
          <w:highlight w:val="none"/>
        </w:rPr>
        <w:t>我单位已制定《博物馆纪念馆免费开放补助资金资金管理办法》《</w:t>
      </w:r>
      <w:r>
        <w:rPr>
          <w:rFonts w:hint="eastAsia"/>
          <w:color w:val="auto"/>
          <w:highlight w:val="none"/>
          <w:lang w:eastAsia="zh-CN"/>
        </w:rPr>
        <w:t>事业单位</w:t>
      </w:r>
      <w:r>
        <w:rPr>
          <w:rFonts w:hint="eastAsia"/>
          <w:color w:val="auto"/>
          <w:highlight w:val="none"/>
        </w:rPr>
        <w:t>收支业务管理制度》《政府采购业务管理制度》《合同管理制度》，上述已建立的制度均符合行政事业单位内控管理要求，财务和业务管理制度合法、合规、完整，本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14:paraId="71C86E94">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14:paraId="188BA528">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14:paraId="6AF0FF0D">
      <w:pPr>
        <w:ind w:firstLine="560"/>
        <w:rPr>
          <w:color w:val="auto"/>
          <w:highlight w:val="none"/>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w:t>
      </w:r>
      <w:r>
        <w:rPr>
          <w:rFonts w:hint="eastAsia"/>
          <w:color w:val="auto"/>
          <w:highlight w:val="none"/>
          <w:lang w:eastAsia="zh-CN"/>
        </w:rPr>
        <w:t>局</w:t>
      </w:r>
      <w:r>
        <w:rPr>
          <w:rFonts w:hint="eastAsia"/>
          <w:color w:val="auto"/>
          <w:highlight w:val="none"/>
        </w:rPr>
        <w:t>项目工作领导小组，由党组书记</w:t>
      </w:r>
      <w:r>
        <w:rPr>
          <w:rFonts w:hint="eastAsia"/>
          <w:color w:val="auto"/>
          <w:highlight w:val="none"/>
          <w:lang w:eastAsia="zh-CN"/>
        </w:rPr>
        <w:t>朱斌</w:t>
      </w:r>
      <w:r>
        <w:rPr>
          <w:rFonts w:hint="eastAsia"/>
          <w:color w:val="auto"/>
          <w:highlight w:val="none"/>
        </w:rPr>
        <w:t>任组长，负责项目的组织工作；</w:t>
      </w:r>
      <w:r>
        <w:rPr>
          <w:rFonts w:hint="eastAsia"/>
          <w:color w:val="auto"/>
          <w:highlight w:val="none"/>
          <w:lang w:eastAsia="zh-CN"/>
        </w:rPr>
        <w:t>才仁加甫</w:t>
      </w:r>
      <w:r>
        <w:rPr>
          <w:rFonts w:hint="eastAsia"/>
          <w:color w:val="auto"/>
          <w:highlight w:val="none"/>
        </w:rPr>
        <w:t>任副组长，负责项目的实施工作；组员包括：</w:t>
      </w:r>
      <w:r>
        <w:rPr>
          <w:rFonts w:hint="eastAsia"/>
          <w:color w:val="auto"/>
          <w:highlight w:val="none"/>
          <w:lang w:eastAsia="zh-CN"/>
        </w:rPr>
        <w:t>巴叶</w:t>
      </w:r>
      <w:r>
        <w:rPr>
          <w:rFonts w:hint="eastAsia"/>
          <w:color w:val="auto"/>
          <w:highlight w:val="none"/>
        </w:rPr>
        <w:t>和</w:t>
      </w:r>
      <w:r>
        <w:rPr>
          <w:rFonts w:hint="eastAsia"/>
          <w:color w:val="auto"/>
          <w:highlight w:val="none"/>
          <w:lang w:eastAsia="zh-CN"/>
        </w:rPr>
        <w:t>丁琴</w:t>
      </w:r>
      <w:r>
        <w:rPr>
          <w:rFonts w:hint="eastAsia"/>
          <w:color w:val="auto"/>
          <w:highlight w:val="none"/>
        </w:rPr>
        <w:t>，主要负责项目监督管理、验收以及资金核拨等工作。</w:t>
      </w:r>
      <w:r>
        <w:rPr>
          <w:rFonts w:hint="eastAsia"/>
          <w:color w:val="auto"/>
          <w:highlight w:val="none"/>
        </w:rPr>
        <w:t>项目调整及支出调整手续完备；项目合同书、验收报告、技术鉴定等资料齐全并及时归档；项目实施的人员条件、场地设备、信息支撑等落实到位。</w:t>
      </w:r>
    </w:p>
    <w:p w14:paraId="13392988">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，本项目所建立制度执行有效。</w:t>
      </w:r>
    </w:p>
    <w:p w14:paraId="65793B9B">
      <w:pPr>
        <w:pStyle w:val="3"/>
        <w:ind w:left="560" w:leftChars="200" w:firstLine="0" w:firstLineChars="0"/>
        <w:rPr>
          <w:color w:val="auto"/>
          <w:highlight w:val="none"/>
        </w:rPr>
      </w:pPr>
      <w:r>
        <w:rPr>
          <w:rFonts w:hint="eastAsia"/>
          <w:color w:val="auto"/>
          <w:highlight w:val="none"/>
        </w:rPr>
        <w:t>（三）项目产出情况</w:t>
      </w:r>
    </w:p>
    <w:p w14:paraId="18BA082B">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6</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60A78ED5">
      <w:pPr>
        <w:pStyle w:val="4"/>
        <w:ind w:firstLine="562"/>
        <w:rPr>
          <w:color w:val="auto"/>
          <w:highlight w:val="none"/>
        </w:rPr>
      </w:pPr>
      <w:r>
        <w:rPr>
          <w:rFonts w:hint="eastAsia"/>
          <w:color w:val="auto"/>
          <w:highlight w:val="none"/>
        </w:rPr>
        <w:t>1.数量指标完成情况分析</w:t>
      </w:r>
    </w:p>
    <w:p w14:paraId="5AA9C99E">
      <w:pPr>
        <w:ind w:firstLine="560"/>
        <w:rPr>
          <w:rFonts w:hint="eastAsia" w:eastAsia="仿宋_GB2312"/>
          <w:color w:val="auto"/>
          <w:highlight w:val="none"/>
          <w:lang w:eastAsia="zh-CN"/>
        </w:rPr>
      </w:pPr>
      <w:r>
        <w:rPr>
          <w:rFonts w:hint="eastAsia"/>
          <w:color w:val="auto"/>
          <w:highlight w:val="none"/>
        </w:rPr>
        <w:t>“经费运行场馆”指标：预期指标值为</w:t>
      </w:r>
      <w:r>
        <w:rPr>
          <w:rFonts w:hint="eastAsia"/>
          <w:color w:val="auto"/>
          <w:highlight w:val="none"/>
          <w:lang w:val="en-US" w:eastAsia="zh-CN"/>
        </w:rPr>
        <w:t>=1家</w:t>
      </w:r>
      <w:r>
        <w:rPr>
          <w:rFonts w:hint="eastAsia"/>
          <w:color w:val="auto"/>
          <w:highlight w:val="none"/>
        </w:rPr>
        <w:t>，实际完成指标值为</w:t>
      </w:r>
      <w:r>
        <w:rPr>
          <w:rFonts w:hint="eastAsia"/>
          <w:color w:val="auto"/>
          <w:highlight w:val="none"/>
          <w:lang w:val="en-US" w:eastAsia="zh-CN"/>
        </w:rPr>
        <w:t>1家</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6CD5AFC6">
      <w:pPr>
        <w:ind w:firstLine="560"/>
        <w:rPr>
          <w:rFonts w:hint="eastAsia"/>
          <w:color w:val="auto"/>
          <w:highlight w:val="none"/>
          <w:lang w:eastAsia="zh-CN"/>
        </w:rPr>
      </w:pPr>
      <w:r>
        <w:rPr>
          <w:rFonts w:hint="eastAsia"/>
          <w:color w:val="auto"/>
          <w:highlight w:val="none"/>
        </w:rPr>
        <w:t>“开展纪念日及教育活动”指标：预期指标值为</w:t>
      </w:r>
      <w:r>
        <w:rPr>
          <w:rFonts w:hint="eastAsia" w:ascii="宋体" w:hAnsi="宋体" w:eastAsia="宋体" w:cs="宋体"/>
          <w:color w:val="auto"/>
          <w:highlight w:val="none"/>
        </w:rPr>
        <w:t>≧</w:t>
      </w:r>
      <w:r>
        <w:rPr>
          <w:rFonts w:hint="eastAsia"/>
          <w:color w:val="auto"/>
          <w:highlight w:val="none"/>
          <w:lang w:val="en-US" w:eastAsia="zh-CN"/>
        </w:rPr>
        <w:t>60场/次</w:t>
      </w:r>
      <w:r>
        <w:rPr>
          <w:rFonts w:hint="eastAsia"/>
          <w:color w:val="auto"/>
          <w:highlight w:val="none"/>
        </w:rPr>
        <w:t>，实际完成指标值为</w:t>
      </w:r>
      <w:r>
        <w:rPr>
          <w:rFonts w:hint="eastAsia"/>
          <w:color w:val="auto"/>
          <w:highlight w:val="none"/>
          <w:lang w:val="en-US" w:eastAsia="zh-CN"/>
        </w:rPr>
        <w:t>65场/次</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625E0FA7">
      <w:pPr>
        <w:pStyle w:val="4"/>
        <w:ind w:firstLine="562"/>
        <w:rPr>
          <w:color w:val="auto"/>
          <w:highlight w:val="none"/>
        </w:rPr>
      </w:pPr>
      <w:r>
        <w:rPr>
          <w:rFonts w:hint="eastAsia"/>
          <w:color w:val="auto"/>
          <w:highlight w:val="none"/>
        </w:rPr>
        <w:t>2.质量指标完成情况分析</w:t>
      </w:r>
    </w:p>
    <w:p w14:paraId="3C905973">
      <w:pPr>
        <w:ind w:firstLine="560"/>
        <w:rPr>
          <w:rFonts w:hint="eastAsia"/>
          <w:color w:val="auto"/>
          <w:highlight w:val="none"/>
        </w:rPr>
      </w:pPr>
      <w:r>
        <w:rPr>
          <w:rFonts w:hint="eastAsia"/>
          <w:color w:val="auto"/>
          <w:highlight w:val="none"/>
        </w:rPr>
        <w:t>“免费开放绩效考评率”指标：预期指标值为</w:t>
      </w:r>
      <w:r>
        <w:rPr>
          <w:rFonts w:hint="eastAsia" w:ascii="宋体" w:hAnsi="宋体" w:eastAsia="宋体" w:cs="宋体"/>
          <w:color w:val="auto"/>
          <w:highlight w:val="none"/>
        </w:rPr>
        <w:t>≧</w:t>
      </w:r>
      <w:r>
        <w:rPr>
          <w:rFonts w:hint="eastAsia"/>
          <w:color w:val="auto"/>
          <w:highlight w:val="none"/>
          <w:lang w:val="en-US" w:eastAsia="zh-CN"/>
        </w:rPr>
        <w:t>95%</w:t>
      </w:r>
      <w:r>
        <w:rPr>
          <w:rFonts w:hint="eastAsia"/>
          <w:color w:val="auto"/>
          <w:highlight w:val="none"/>
        </w:rPr>
        <w:t>，实际完成指标值为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2568C56E">
      <w:pPr>
        <w:ind w:firstLine="560"/>
        <w:rPr>
          <w:rFonts w:hint="default"/>
          <w:color w:val="auto"/>
          <w:highlight w:val="none"/>
          <w:lang w:val="en-US" w:eastAsia="zh-CN"/>
        </w:rPr>
      </w:pPr>
      <w:r>
        <w:rPr>
          <w:rFonts w:hint="eastAsia"/>
          <w:color w:val="auto"/>
          <w:highlight w:val="none"/>
        </w:rPr>
        <w:t>“活动开展率”指标：预期指标值为</w:t>
      </w:r>
      <w:r>
        <w:rPr>
          <w:rFonts w:hint="eastAsia" w:ascii="宋体" w:hAnsi="宋体" w:eastAsia="宋体" w:cs="宋体"/>
          <w:color w:val="auto"/>
          <w:highlight w:val="none"/>
        </w:rPr>
        <w:t>≧</w:t>
      </w:r>
      <w:r>
        <w:rPr>
          <w:rFonts w:hint="eastAsia"/>
          <w:color w:val="auto"/>
          <w:highlight w:val="none"/>
          <w:lang w:val="en-US" w:eastAsia="zh-CN"/>
        </w:rPr>
        <w:t>95%</w:t>
      </w:r>
      <w:r>
        <w:rPr>
          <w:rFonts w:hint="eastAsia"/>
          <w:color w:val="auto"/>
          <w:highlight w:val="none"/>
        </w:rPr>
        <w:t>，实际完成指标值为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0D3CF4D5">
      <w:pPr>
        <w:pStyle w:val="4"/>
        <w:ind w:firstLine="562"/>
        <w:rPr>
          <w:color w:val="auto"/>
          <w:highlight w:val="none"/>
        </w:rPr>
      </w:pPr>
      <w:r>
        <w:rPr>
          <w:rFonts w:hint="eastAsia"/>
          <w:color w:val="auto"/>
          <w:highlight w:val="none"/>
        </w:rPr>
        <w:t>3.时效指标完成情况分析</w:t>
      </w:r>
    </w:p>
    <w:p w14:paraId="1EC4BA1C">
      <w:pPr>
        <w:ind w:firstLine="560"/>
        <w:rPr>
          <w:rFonts w:hint="eastAsia"/>
          <w:color w:val="auto"/>
          <w:highlight w:val="none"/>
        </w:rPr>
      </w:pPr>
      <w:r>
        <w:rPr>
          <w:rFonts w:hint="eastAsia"/>
          <w:color w:val="auto"/>
          <w:highlight w:val="none"/>
        </w:rPr>
        <w:t>“全年免费开放天数”指标：预期指标值为</w:t>
      </w:r>
      <w:r>
        <w:rPr>
          <w:rFonts w:hint="eastAsia" w:ascii="宋体" w:hAnsi="宋体" w:eastAsia="宋体" w:cs="宋体"/>
          <w:color w:val="auto"/>
          <w:highlight w:val="none"/>
        </w:rPr>
        <w:t>≧</w:t>
      </w:r>
      <w:r>
        <w:rPr>
          <w:rFonts w:hint="eastAsia"/>
          <w:color w:val="auto"/>
          <w:highlight w:val="none"/>
          <w:lang w:val="en-US" w:eastAsia="zh-CN"/>
        </w:rPr>
        <w:t>330天</w:t>
      </w:r>
      <w:r>
        <w:rPr>
          <w:rFonts w:hint="eastAsia"/>
          <w:color w:val="auto"/>
          <w:highlight w:val="none"/>
        </w:rPr>
        <w:t>，实际完成指标值为</w:t>
      </w:r>
      <w:r>
        <w:rPr>
          <w:rFonts w:hint="eastAsia"/>
          <w:color w:val="auto"/>
          <w:highlight w:val="none"/>
          <w:lang w:val="en-US" w:eastAsia="zh-CN"/>
        </w:rPr>
        <w:t>350天</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5852A6FF">
      <w:pPr>
        <w:ind w:firstLine="560"/>
        <w:rPr>
          <w:rFonts w:hint="eastAsia" w:eastAsia="仿宋_GB2312"/>
          <w:color w:val="auto"/>
          <w:highlight w:val="none"/>
          <w:lang w:eastAsia="zh-CN"/>
        </w:rPr>
      </w:pPr>
      <w:r>
        <w:rPr>
          <w:rFonts w:hint="eastAsia"/>
          <w:color w:val="auto"/>
          <w:highlight w:val="none"/>
        </w:rPr>
        <w:t>“活动开展及时率”指标：预期指标值为</w:t>
      </w:r>
      <w:r>
        <w:rPr>
          <w:rFonts w:hint="eastAsia" w:ascii="宋体" w:hAnsi="宋体" w:eastAsia="宋体" w:cs="宋体"/>
          <w:color w:val="auto"/>
          <w:highlight w:val="none"/>
        </w:rPr>
        <w:t>≧</w:t>
      </w:r>
      <w:r>
        <w:rPr>
          <w:rFonts w:hint="eastAsia"/>
          <w:color w:val="auto"/>
          <w:highlight w:val="none"/>
          <w:lang w:val="en-US" w:eastAsia="zh-CN"/>
        </w:rPr>
        <w:t>95%</w:t>
      </w:r>
      <w:r>
        <w:rPr>
          <w:rFonts w:hint="eastAsia"/>
          <w:color w:val="auto"/>
          <w:highlight w:val="none"/>
        </w:rPr>
        <w:t>，实际完成指标值为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4A110673">
      <w:pPr>
        <w:pStyle w:val="3"/>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14:paraId="423BBB76">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2</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15.73</w:t>
      </w:r>
      <w:r>
        <w:rPr>
          <w:rFonts w:hint="eastAsia"/>
          <w:color w:val="auto"/>
          <w:highlight w:val="none"/>
          <w:lang w:val="zh-TW" w:eastAsia="zh-TW"/>
        </w:rPr>
        <w:t>分</w:t>
      </w:r>
      <w:r>
        <w:rPr>
          <w:rFonts w:hint="eastAsia"/>
          <w:color w:val="auto"/>
          <w:highlight w:val="none"/>
          <w:lang w:val="zh-TW"/>
        </w:rPr>
        <w:t>。</w:t>
      </w:r>
    </w:p>
    <w:p w14:paraId="1A8A698F">
      <w:pPr>
        <w:pStyle w:val="4"/>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14:paraId="4FCC4AE8">
      <w:pPr>
        <w:ind w:firstLine="560"/>
        <w:rPr>
          <w:rFonts w:hint="eastAsia"/>
          <w:color w:val="auto"/>
          <w:highlight w:val="none"/>
        </w:rPr>
      </w:pPr>
      <w:r>
        <w:rPr>
          <w:rFonts w:hint="eastAsia"/>
          <w:color w:val="auto"/>
          <w:highlight w:val="none"/>
        </w:rPr>
        <w:t>“聘用人员工资及社保”指标：预期指标值为</w:t>
      </w:r>
      <w:r>
        <w:rPr>
          <w:rFonts w:hint="eastAsia" w:ascii="宋体" w:hAnsi="宋体" w:eastAsia="宋体" w:cs="宋体"/>
          <w:color w:val="auto"/>
          <w:highlight w:val="none"/>
        </w:rPr>
        <w:t>≦</w:t>
      </w:r>
      <w:r>
        <w:rPr>
          <w:rFonts w:hint="eastAsia"/>
          <w:color w:val="auto"/>
          <w:highlight w:val="none"/>
          <w:lang w:val="en-US" w:eastAsia="zh-CN"/>
        </w:rPr>
        <w:t>17万元</w:t>
      </w:r>
      <w:r>
        <w:rPr>
          <w:rFonts w:hint="eastAsia"/>
          <w:color w:val="auto"/>
          <w:highlight w:val="none"/>
        </w:rPr>
        <w:t>，实际完成指标值为</w:t>
      </w:r>
      <w:r>
        <w:rPr>
          <w:rFonts w:hint="eastAsia"/>
          <w:color w:val="auto"/>
          <w:highlight w:val="none"/>
          <w:lang w:val="en-US" w:eastAsia="zh-CN"/>
        </w:rPr>
        <w:t>16.98万元</w:t>
      </w:r>
      <w:r>
        <w:rPr>
          <w:rFonts w:hint="eastAsia"/>
          <w:color w:val="auto"/>
          <w:highlight w:val="none"/>
        </w:rPr>
        <w:t>，指标完成率为</w:t>
      </w:r>
      <w:r>
        <w:rPr>
          <w:rFonts w:hint="eastAsia"/>
          <w:color w:val="auto"/>
          <w:highlight w:val="none"/>
          <w:lang w:val="en-US" w:eastAsia="zh-CN"/>
        </w:rPr>
        <w:t>99.89</w:t>
      </w:r>
      <w:r>
        <w:rPr>
          <w:rFonts w:hint="eastAsia"/>
          <w:color w:val="auto"/>
          <w:highlight w:val="none"/>
        </w:rPr>
        <w:t>%，偏差率</w:t>
      </w:r>
      <w:r>
        <w:rPr>
          <w:rFonts w:hint="eastAsia"/>
          <w:color w:val="auto"/>
          <w:highlight w:val="none"/>
          <w:lang w:val="en-US" w:eastAsia="zh-CN"/>
        </w:rPr>
        <w:t>O.11</w:t>
      </w:r>
      <w:r>
        <w:rPr>
          <w:rFonts w:hint="eastAsia"/>
          <w:color w:val="auto"/>
          <w:highlight w:val="none"/>
        </w:rPr>
        <w:t>%。偏差主要原因是：人员工资社保总计16.98万元结余0.02万元，下一步将加强相关人员预算申请能力，减少资金支付不达100%的情况。</w:t>
      </w:r>
    </w:p>
    <w:p w14:paraId="2B1693B4">
      <w:pPr>
        <w:ind w:firstLine="560"/>
        <w:rPr>
          <w:rFonts w:hint="eastAsia" w:eastAsia="仿宋_GB2312"/>
          <w:color w:val="auto"/>
          <w:highlight w:val="none"/>
          <w:lang w:eastAsia="zh-CN"/>
        </w:rPr>
      </w:pPr>
      <w:r>
        <w:rPr>
          <w:rFonts w:hint="eastAsia"/>
          <w:color w:val="auto"/>
          <w:highlight w:val="none"/>
        </w:rPr>
        <w:t>“展厅日常维护及经费活动”指标：预期指标值为</w:t>
      </w:r>
      <w:r>
        <w:rPr>
          <w:rFonts w:hint="eastAsia" w:ascii="宋体" w:hAnsi="宋体" w:eastAsia="宋体" w:cs="宋体"/>
          <w:color w:val="auto"/>
          <w:highlight w:val="none"/>
        </w:rPr>
        <w:t>≦</w:t>
      </w:r>
      <w:r>
        <w:rPr>
          <w:rFonts w:hint="eastAsia"/>
          <w:color w:val="auto"/>
          <w:highlight w:val="none"/>
          <w:lang w:val="en-US" w:eastAsia="zh-CN"/>
        </w:rPr>
        <w:t>13万元</w:t>
      </w:r>
      <w:r>
        <w:rPr>
          <w:rFonts w:hint="eastAsia"/>
          <w:color w:val="auto"/>
          <w:highlight w:val="none"/>
        </w:rPr>
        <w:t>，实际完成指标值为</w:t>
      </w:r>
      <w:r>
        <w:rPr>
          <w:rFonts w:hint="eastAsia"/>
          <w:color w:val="auto"/>
          <w:highlight w:val="none"/>
          <w:lang w:val="en-US" w:eastAsia="zh-CN"/>
        </w:rPr>
        <w:t>12.84万元</w:t>
      </w:r>
      <w:r>
        <w:rPr>
          <w:rFonts w:hint="eastAsia"/>
          <w:color w:val="auto"/>
          <w:highlight w:val="none"/>
        </w:rPr>
        <w:t>，指标完成率为</w:t>
      </w:r>
      <w:r>
        <w:rPr>
          <w:rFonts w:hint="eastAsia"/>
          <w:color w:val="auto"/>
          <w:highlight w:val="none"/>
          <w:lang w:val="en-US" w:eastAsia="zh-CN"/>
        </w:rPr>
        <w:t>98.76</w:t>
      </w:r>
      <w:r>
        <w:rPr>
          <w:rFonts w:hint="eastAsia"/>
          <w:color w:val="auto"/>
          <w:highlight w:val="none"/>
        </w:rPr>
        <w:t>%，偏差率</w:t>
      </w:r>
      <w:r>
        <w:rPr>
          <w:rFonts w:hint="eastAsia"/>
          <w:color w:val="auto"/>
          <w:highlight w:val="none"/>
          <w:lang w:val="en-US" w:eastAsia="zh-CN"/>
        </w:rPr>
        <w:t>1.24</w:t>
      </w:r>
      <w:r>
        <w:rPr>
          <w:rFonts w:hint="eastAsia"/>
          <w:color w:val="auto"/>
          <w:highlight w:val="none"/>
        </w:rPr>
        <w:t>%</w:t>
      </w:r>
      <w:r>
        <w:rPr>
          <w:rFonts w:hint="eastAsia"/>
          <w:color w:val="auto"/>
          <w:highlight w:val="none"/>
          <w:lang w:eastAsia="zh-CN"/>
        </w:rPr>
        <w:t>。</w:t>
      </w:r>
      <w:r>
        <w:rPr>
          <w:rFonts w:hint="eastAsia"/>
          <w:color w:val="auto"/>
          <w:highlight w:val="none"/>
        </w:rPr>
        <w:t>偏差主要原因是：一笔业务支出科目有无没能支出0.16万元</w:t>
      </w:r>
      <w:r>
        <w:rPr>
          <w:rFonts w:hint="eastAsia"/>
          <w:color w:val="auto"/>
          <w:highlight w:val="none"/>
          <w:lang w:eastAsia="zh-CN"/>
        </w:rPr>
        <w:t>，</w:t>
      </w:r>
      <w:r>
        <w:rPr>
          <w:rFonts w:hint="eastAsia"/>
          <w:color w:val="auto"/>
          <w:highlight w:val="none"/>
        </w:rPr>
        <w:t>下一步将加强相关人员预算申请能力，减少资金支付不达100%的情况。</w:t>
      </w:r>
    </w:p>
    <w:p w14:paraId="792A8FA2">
      <w:pPr>
        <w:pStyle w:val="3"/>
        <w:ind w:left="0" w:leftChars="0" w:firstLine="321" w:firstLineChars="100"/>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14:paraId="2C72BB10">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31A9BC95">
      <w:pPr>
        <w:pStyle w:val="4"/>
        <w:ind w:firstLine="562"/>
        <w:rPr>
          <w:color w:val="auto"/>
          <w:highlight w:val="none"/>
        </w:rPr>
      </w:pPr>
      <w:r>
        <w:rPr>
          <w:rFonts w:hint="eastAsia"/>
          <w:color w:val="auto"/>
          <w:highlight w:val="none"/>
          <w:lang w:val="en-US" w:eastAsia="zh-CN"/>
        </w:rPr>
        <w:t>1</w:t>
      </w:r>
      <w:r>
        <w:rPr>
          <w:rFonts w:hint="eastAsia"/>
          <w:color w:val="auto"/>
          <w:highlight w:val="none"/>
        </w:rPr>
        <w:t>.社会效益完成情况分析</w:t>
      </w:r>
    </w:p>
    <w:p w14:paraId="5693772F">
      <w:pPr>
        <w:ind w:firstLine="560"/>
        <w:rPr>
          <w:rFonts w:hint="eastAsia"/>
          <w:color w:val="auto"/>
          <w:highlight w:val="none"/>
          <w:lang w:eastAsia="zh-CN"/>
        </w:rPr>
      </w:pPr>
      <w:r>
        <w:rPr>
          <w:rFonts w:hint="eastAsia"/>
          <w:color w:val="auto"/>
          <w:highlight w:val="none"/>
        </w:rPr>
        <w:t>“丰富群众文化知识，培养青少年的爱国主义情操，弘扬中华民族传统文化”指标：预期指标值为有效提高，实际完成指标值为</w:t>
      </w:r>
      <w:r>
        <w:rPr>
          <w:rFonts w:hint="eastAsia"/>
          <w:color w:val="auto"/>
          <w:highlight w:val="none"/>
          <w:lang w:val="en-US" w:eastAsia="zh-CN"/>
        </w:rPr>
        <w:t>达成目标</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650D4780">
      <w:pPr>
        <w:pStyle w:val="4"/>
        <w:ind w:firstLine="562"/>
        <w:rPr>
          <w:color w:val="auto"/>
          <w:highlight w:val="none"/>
        </w:rPr>
      </w:pPr>
      <w:r>
        <w:rPr>
          <w:rFonts w:hint="eastAsia"/>
          <w:color w:val="auto"/>
          <w:highlight w:val="none"/>
          <w:lang w:val="en-US" w:eastAsia="zh-CN"/>
        </w:rPr>
        <w:t>2</w:t>
      </w:r>
      <w:r>
        <w:rPr>
          <w:rFonts w:hint="eastAsia"/>
          <w:color w:val="auto"/>
          <w:highlight w:val="none"/>
        </w:rPr>
        <w:t>.满意度指标完成情况分析</w:t>
      </w:r>
    </w:p>
    <w:p w14:paraId="20127A5B">
      <w:pPr>
        <w:ind w:firstLine="560"/>
        <w:rPr>
          <w:rFonts w:hint="eastAsia"/>
          <w:color w:val="auto"/>
          <w:highlight w:val="none"/>
        </w:rPr>
      </w:pPr>
      <w:r>
        <w:rPr>
          <w:rFonts w:hint="eastAsia"/>
          <w:color w:val="auto"/>
          <w:highlight w:val="none"/>
        </w:rPr>
        <w:t>“参观者及工作人员满意度”指标：预期指标值为</w:t>
      </w:r>
      <w:r>
        <w:rPr>
          <w:rFonts w:hint="eastAsia" w:ascii="宋体" w:hAnsi="宋体" w:eastAsia="宋体" w:cs="宋体"/>
          <w:color w:val="auto"/>
          <w:highlight w:val="none"/>
        </w:rPr>
        <w:t>≧</w:t>
      </w:r>
      <w:r>
        <w:rPr>
          <w:rFonts w:hint="eastAsia"/>
          <w:color w:val="auto"/>
          <w:highlight w:val="none"/>
        </w:rPr>
        <w:t>95%，实际完成指标值为9</w:t>
      </w:r>
      <w:r>
        <w:rPr>
          <w:rFonts w:hint="eastAsia"/>
          <w:color w:val="auto"/>
          <w:highlight w:val="none"/>
          <w:lang w:val="en-US" w:eastAsia="zh-CN"/>
        </w:rPr>
        <w:t>6</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55D39D1C">
      <w:pPr>
        <w:pStyle w:val="2"/>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14:paraId="6905CFF3">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30万元，全年预算数为30万元，全年执行数为29.82万元，预算执行率为99.4%。</w:t>
      </w:r>
    </w:p>
    <w:p w14:paraId="102B87D3">
      <w:pPr>
        <w:pStyle w:val="6"/>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21</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18个，扣分指标数量3个，经分析计算所有三级指标完成率得出，本项目</w:t>
      </w:r>
      <w:r>
        <w:rPr>
          <w:rFonts w:hint="eastAsia"/>
          <w:color w:val="auto"/>
          <w:highlight w:val="none"/>
        </w:rPr>
        <w:t>总体完成率为</w:t>
      </w:r>
      <w:r>
        <w:rPr>
          <w:rFonts w:hint="eastAsia"/>
          <w:color w:val="auto"/>
          <w:highlight w:val="none"/>
          <w:lang w:val="en-US" w:eastAsia="zh-CN"/>
        </w:rPr>
        <w:t>99.9</w:t>
      </w:r>
      <w:r>
        <w:rPr>
          <w:rFonts w:hint="eastAsia"/>
          <w:color w:val="auto"/>
          <w:highlight w:val="none"/>
          <w:lang w:val="zh-TW" w:eastAsia="zh-TW"/>
        </w:rPr>
        <w:t>。</w:t>
      </w:r>
    </w:p>
    <w:p w14:paraId="40A709DB">
      <w:pPr>
        <w:pStyle w:val="6"/>
        <w:rPr>
          <w:rFonts w:hint="eastAsia"/>
          <w:color w:val="auto"/>
          <w:highlight w:val="none"/>
          <w:lang w:val="en-US" w:eastAsia="zh-CN"/>
        </w:rPr>
      </w:pPr>
      <w:r>
        <w:rPr>
          <w:rFonts w:hint="eastAsia"/>
          <w:color w:val="auto"/>
          <w:highlight w:val="none"/>
          <w:lang w:val="en-US" w:eastAsia="zh-CN"/>
        </w:rPr>
        <w:t>综上所述本项目预算执行率与总体完成率之间的偏差为0.5%。</w:t>
      </w:r>
    </w:p>
    <w:p w14:paraId="30D9624B">
      <w:pPr>
        <w:pStyle w:val="6"/>
        <w:rPr>
          <w:rFonts w:hint="default"/>
          <w:color w:val="auto"/>
          <w:highlight w:val="none"/>
          <w:lang w:val="zh-TW" w:eastAsia="zh-CN"/>
        </w:rPr>
      </w:pPr>
      <w:r>
        <w:rPr>
          <w:rFonts w:hint="default" w:ascii="Times New Roman" w:hAnsi="Times New Roman" w:cs="Times New Roman"/>
          <w:color w:val="auto"/>
          <w:highlight w:val="none"/>
          <w:u w:color="000000"/>
          <w:lang w:val="zh-TW" w:eastAsia="zh-TW"/>
        </w:rPr>
        <w:t>我单位根据绩效管理的相关要求，按照年度实施计划和目标，对本单位</w:t>
      </w:r>
      <w:r>
        <w:rPr>
          <w:rFonts w:hint="eastAsia"/>
          <w:color w:val="auto"/>
          <w:highlight w:val="none"/>
        </w:rPr>
        <w:t>2024年中央补助地方博物馆纪念馆免费开放补助资金</w:t>
      </w:r>
      <w:r>
        <w:rPr>
          <w:rFonts w:hint="eastAsia" w:ascii="Times New Roman" w:hAnsi="Times New Roman" w:cs="Times New Roman"/>
          <w:color w:val="auto"/>
          <w:highlight w:val="none"/>
          <w:u w:color="000000"/>
          <w:lang w:val="en-US" w:eastAsia="zh-CN"/>
        </w:rPr>
        <w:t>项目</w:t>
      </w:r>
      <w:r>
        <w:rPr>
          <w:rFonts w:hint="default" w:ascii="Times New Roman" w:hAnsi="Times New Roman" w:cs="Times New Roman"/>
          <w:color w:val="auto"/>
          <w:highlight w:val="none"/>
          <w:u w:color="000000"/>
          <w:lang w:val="zh-TW" w:eastAsia="zh-TW"/>
        </w:rPr>
        <w:t>支出绩效</w:t>
      </w:r>
      <w:r>
        <w:rPr>
          <w:rFonts w:hint="eastAsia" w:ascii="Times New Roman" w:hAnsi="Times New Roman" w:cs="Times New Roman"/>
          <w:color w:val="auto"/>
          <w:highlight w:val="none"/>
          <w:u w:color="000000"/>
          <w:lang w:val="zh-TW" w:eastAsia="zh-CN"/>
        </w:rPr>
        <w:t>进行自评</w:t>
      </w:r>
      <w:r>
        <w:rPr>
          <w:rFonts w:hint="default" w:ascii="Times New Roman" w:hAnsi="Times New Roman" w:cs="Times New Roman"/>
          <w:color w:val="auto"/>
          <w:highlight w:val="none"/>
          <w:u w:color="000000"/>
          <w:lang w:val="zh-TW" w:eastAsia="zh-TW"/>
        </w:rPr>
        <w:t>，通过</w:t>
      </w:r>
      <w:r>
        <w:rPr>
          <w:rFonts w:hint="eastAsia" w:ascii="Times New Roman" w:hAnsi="Times New Roman" w:cs="Times New Roman"/>
          <w:color w:val="auto"/>
          <w:highlight w:val="none"/>
          <w:u w:color="000000"/>
          <w:lang w:val="zh-TW" w:eastAsia="zh-CN"/>
        </w:rPr>
        <w:t>全年项目实施</w:t>
      </w:r>
      <w:r>
        <w:rPr>
          <w:rFonts w:hint="default" w:ascii="Times New Roman" w:hAnsi="Times New Roman" w:cs="Times New Roman"/>
          <w:color w:val="auto"/>
          <w:highlight w:val="none"/>
          <w:u w:color="000000"/>
          <w:lang w:val="zh-TW" w:eastAsia="zh-TW"/>
        </w:rPr>
        <w:t>情况进行分析。资金到位及时，资金使用合规合法，财务管理制度健全，项目管理制度健全，项目组织实施总体与目标</w:t>
      </w:r>
      <w:r>
        <w:rPr>
          <w:rFonts w:hint="eastAsia" w:ascii="Times New Roman" w:hAnsi="Times New Roman" w:cs="Times New Roman"/>
          <w:color w:val="auto"/>
          <w:highlight w:val="none"/>
          <w:u w:color="000000"/>
          <w:lang w:val="zh-TW" w:eastAsia="zh-CN"/>
        </w:rPr>
        <w:t>有</w:t>
      </w:r>
      <w:r>
        <w:rPr>
          <w:rFonts w:hint="eastAsia"/>
          <w:color w:val="auto"/>
          <w:highlight w:val="none"/>
          <w:lang w:val="en-US" w:eastAsia="zh-CN"/>
        </w:rPr>
        <w:t>偏差为0.5%，是因政府采购科目有误未能及时支付0.18万元出现偏离和差异</w:t>
      </w:r>
      <w:r>
        <w:rPr>
          <w:rFonts w:hint="default" w:ascii="Times New Roman" w:hAnsi="Times New Roman" w:cs="Times New Roman"/>
          <w:color w:val="auto"/>
          <w:highlight w:val="none"/>
          <w:u w:color="000000"/>
          <w:lang w:val="zh-TW" w:eastAsia="zh-TW"/>
        </w:rPr>
        <w:t>。</w:t>
      </w:r>
    </w:p>
    <w:p w14:paraId="60FDD5D7">
      <w:pPr>
        <w:pStyle w:val="2"/>
        <w:ind w:firstLine="643"/>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14:paraId="7A478B5E">
      <w:pPr>
        <w:pStyle w:val="3"/>
        <w:numPr>
          <w:ilvl w:val="0"/>
          <w:numId w:val="4"/>
        </w:numPr>
        <w:ind w:firstLine="643"/>
        <w:rPr>
          <w:color w:val="auto"/>
          <w:highlight w:val="none"/>
        </w:rPr>
      </w:pPr>
      <w:bookmarkStart w:id="12" w:name="_Toc1921"/>
      <w:bookmarkStart w:id="13" w:name="_Toc28290"/>
      <w:r>
        <w:rPr>
          <w:rFonts w:hint="eastAsia"/>
          <w:color w:val="auto"/>
          <w:highlight w:val="none"/>
        </w:rPr>
        <w:t>主要经验及做法</w:t>
      </w:r>
    </w:p>
    <w:bookmarkEnd w:id="12"/>
    <w:bookmarkEnd w:id="13"/>
    <w:p w14:paraId="49E9DED3">
      <w:pPr>
        <w:ind w:firstLine="560"/>
        <w:rPr>
          <w:rFonts w:hint="default" w:ascii="Times New Roman" w:hAnsi="Times New Roman" w:cs="Times New Roman"/>
          <w:color w:val="auto"/>
          <w:highlight w:val="none"/>
          <w:u w:color="000000"/>
          <w:lang w:val="zh-TW" w:eastAsia="zh-TW"/>
        </w:rPr>
      </w:pPr>
      <w:r>
        <w:rPr>
          <w:rFonts w:hint="default" w:ascii="Times New Roman" w:hAnsi="Times New Roman" w:cs="Times New Roman"/>
          <w:color w:val="auto"/>
          <w:highlight w:val="none"/>
          <w:u w:color="000000"/>
          <w:lang w:val="zh-TW" w:eastAsia="zh-TW"/>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6678BF81">
      <w:pPr>
        <w:ind w:firstLine="560"/>
        <w:rPr>
          <w:b/>
          <w:bCs/>
          <w:color w:val="auto"/>
          <w:highlight w:val="none"/>
        </w:rPr>
      </w:pPr>
      <w:r>
        <w:rPr>
          <w:rFonts w:hint="default" w:ascii="Times New Roman" w:hAnsi="Times New Roman" w:cs="Times New Roman"/>
          <w:color w:val="auto"/>
          <w:highlight w:val="none"/>
          <w:u w:color="000000"/>
          <w:lang w:val="zh-TW" w:eastAsia="zh-TW"/>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63ED6E5F">
      <w:pPr>
        <w:pStyle w:val="3"/>
        <w:numPr>
          <w:ilvl w:val="0"/>
          <w:numId w:val="4"/>
        </w:numPr>
        <w:ind w:firstLine="643"/>
        <w:rPr>
          <w:color w:val="auto"/>
          <w:highlight w:val="none"/>
        </w:rPr>
      </w:pPr>
      <w:r>
        <w:rPr>
          <w:rFonts w:hint="eastAsia"/>
          <w:color w:val="auto"/>
          <w:highlight w:val="none"/>
        </w:rPr>
        <w:t>存在的问题及原因分析</w:t>
      </w:r>
    </w:p>
    <w:p w14:paraId="07CB6A97">
      <w:pPr>
        <w:ind w:firstLine="560"/>
        <w:rPr>
          <w:rFonts w:hint="default" w:ascii="Times New Roman" w:hAnsi="Times New Roman" w:cs="Times New Roman"/>
          <w:color w:val="auto"/>
          <w:highlight w:val="none"/>
          <w:u w:color="000000"/>
          <w:lang w:val="zh-TW" w:eastAsia="zh-TW"/>
        </w:rPr>
      </w:pPr>
      <w:r>
        <w:rPr>
          <w:rFonts w:hint="eastAsia" w:ascii="Times New Roman" w:hAnsi="Times New Roman" w:cs="Times New Roman"/>
          <w:color w:val="auto"/>
          <w:highlight w:val="none"/>
          <w:u w:color="000000"/>
          <w:lang w:val="zh-TW" w:eastAsia="zh-TW"/>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14:paraId="7DDABBB7">
      <w:pPr>
        <w:ind w:firstLine="560"/>
        <w:rPr>
          <w:rFonts w:hint="default" w:ascii="Times New Roman" w:hAnsi="Times New Roman" w:cs="Times New Roman"/>
          <w:color w:val="auto"/>
          <w:highlight w:val="none"/>
          <w:u w:color="000000"/>
          <w:lang w:val="zh-TW" w:eastAsia="zh-TW"/>
        </w:rPr>
      </w:pPr>
      <w:r>
        <w:rPr>
          <w:rFonts w:hint="eastAsia" w:ascii="Times New Roman" w:hAnsi="Times New Roman" w:cs="Times New Roman"/>
          <w:color w:val="auto"/>
          <w:highlight w:val="none"/>
          <w:u w:color="000000"/>
          <w:lang w:val="zh-TW" w:eastAsia="zh-TW"/>
        </w:rPr>
        <w:t>2.因轮岗、调动、等因素使我单位绩效工作人员流动频繁，造成了工作衔接不到位的情况。</w:t>
      </w:r>
    </w:p>
    <w:p w14:paraId="1FE950E0">
      <w:pPr>
        <w:ind w:firstLine="560"/>
        <w:rPr>
          <w:rFonts w:cs="仿宋_GB2312" w:asciiTheme="minorEastAsia" w:hAnsiTheme="minorEastAsia" w:eastAsiaTheme="minorEastAsia"/>
          <w:color w:val="auto"/>
          <w:sz w:val="32"/>
          <w:szCs w:val="32"/>
          <w:highlight w:val="none"/>
        </w:rPr>
      </w:pPr>
      <w:r>
        <w:rPr>
          <w:rFonts w:hint="eastAsia" w:ascii="Times New Roman" w:hAnsi="Times New Roman" w:cs="Times New Roman"/>
          <w:color w:val="auto"/>
          <w:highlight w:val="none"/>
          <w:u w:color="000000"/>
          <w:lang w:val="zh-TW" w:eastAsia="zh-TW"/>
        </w:rPr>
        <w:t>3.积极配合财政加快资金支付审批流程及支付进度。</w:t>
      </w:r>
    </w:p>
    <w:p w14:paraId="6841AC13">
      <w:pPr>
        <w:pStyle w:val="2"/>
        <w:ind w:firstLine="643"/>
        <w:rPr>
          <w:color w:val="auto"/>
          <w:highlight w:val="none"/>
        </w:rPr>
      </w:pPr>
      <w:r>
        <w:rPr>
          <w:rFonts w:hint="eastAsia"/>
          <w:color w:val="auto"/>
          <w:highlight w:val="none"/>
          <w:lang w:eastAsia="zh-CN"/>
        </w:rPr>
        <w:t>七</w:t>
      </w:r>
      <w:r>
        <w:rPr>
          <w:rFonts w:hint="eastAsia"/>
          <w:color w:val="auto"/>
          <w:highlight w:val="none"/>
        </w:rPr>
        <w:t>、有关建议</w:t>
      </w:r>
    </w:p>
    <w:p w14:paraId="611D70B7">
      <w:pPr>
        <w:ind w:firstLine="560"/>
        <w:rPr>
          <w:rFonts w:hint="eastAsia" w:ascii="Times New Roman" w:hAnsi="Times New Roman" w:cs="Times New Roman"/>
          <w:color w:val="auto"/>
          <w:highlight w:val="none"/>
          <w:u w:color="000000"/>
          <w:lang w:val="zh-TW" w:eastAsia="zh-TW"/>
        </w:rPr>
      </w:pPr>
      <w:r>
        <w:rPr>
          <w:rFonts w:hint="eastAsia" w:ascii="Times New Roman" w:hAnsi="Times New Roman" w:cs="Times New Roman"/>
          <w:color w:val="auto"/>
          <w:highlight w:val="none"/>
          <w:u w:color="000000"/>
          <w:lang w:val="zh-TW" w:eastAsia="zh-TW"/>
        </w:rPr>
        <w:t>1.多进行有关绩效管理工作方面的培训。积极组织第三方开展绩效管理工作培训，进一步夯实业务基础，提高我单位绩效人员水平。</w:t>
      </w:r>
    </w:p>
    <w:p w14:paraId="51C1B451">
      <w:pPr>
        <w:ind w:firstLine="560"/>
        <w:rPr>
          <w:rFonts w:hint="eastAsia" w:ascii="Times New Roman" w:hAnsi="Times New Roman" w:cs="Times New Roman"/>
          <w:color w:val="auto"/>
          <w:highlight w:val="none"/>
          <w:u w:color="000000"/>
          <w:lang w:val="zh-TW" w:eastAsia="zh-TW"/>
        </w:rPr>
      </w:pPr>
      <w:r>
        <w:rPr>
          <w:rFonts w:hint="eastAsia" w:ascii="Times New Roman" w:hAnsi="Times New Roman" w:cs="Times New Roman"/>
          <w:color w:val="auto"/>
          <w:highlight w:val="none"/>
          <w:u w:color="000000"/>
          <w:lang w:val="zh-TW" w:eastAsia="zh-TW"/>
        </w:rPr>
        <w:t>2.专门设定对绩效工作人员定职、定岗、定责等相关制度措施，进一步提升我单位绩效管理工作业务水平，扎实做好绩效管理工作。</w:t>
      </w:r>
    </w:p>
    <w:p w14:paraId="6450FCA0">
      <w:pPr>
        <w:ind w:firstLine="560"/>
        <w:rPr>
          <w:rFonts w:hint="eastAsia" w:ascii="Times New Roman" w:hAnsi="Times New Roman" w:cs="Times New Roman"/>
          <w:color w:val="auto"/>
          <w:highlight w:val="none"/>
          <w:u w:color="000000"/>
          <w:lang w:val="zh-TW" w:eastAsia="zh-TW"/>
        </w:rPr>
      </w:pPr>
      <w:r>
        <w:rPr>
          <w:rFonts w:hint="eastAsia" w:ascii="Times New Roman" w:hAnsi="Times New Roman" w:cs="Times New Roman"/>
          <w:color w:val="auto"/>
          <w:highlight w:val="none"/>
          <w:u w:color="000000"/>
          <w:lang w:val="en-US" w:eastAsia="zh-CN"/>
        </w:rPr>
        <w:t>3</w:t>
      </w:r>
      <w:r>
        <w:rPr>
          <w:rFonts w:hint="eastAsia" w:ascii="Times New Roman" w:hAnsi="Times New Roman" w:cs="Times New Roman"/>
          <w:color w:val="auto"/>
          <w:highlight w:val="none"/>
          <w:u w:color="000000"/>
          <w:lang w:val="zh-TW" w:eastAsia="zh-TW"/>
        </w:rPr>
        <w:t>.进一步完善项目评价过程中有关数据和资料的收集、整理、审核及分析。项目启动时同步做好档案的归纳与整理，及时整理、收集、汇总，健全档案资料。项目后续管理有待进一步加强和跟踪。</w:t>
      </w:r>
    </w:p>
    <w:p w14:paraId="178B42A2">
      <w:pPr>
        <w:pStyle w:val="2"/>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14:paraId="1F0C433C">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14:paraId="7AA54D6B">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14:paraId="358EB9BB">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14:paraId="3EB2990C">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14:paraId="7DBDD9DF">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41D1BAAC">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0384DA33">
      <w:pPr>
        <w:pStyle w:val="2"/>
        <w:ind w:firstLine="640"/>
        <w:rPr>
          <w:color w:val="auto"/>
          <w:highlight w:val="none"/>
        </w:rPr>
      </w:pPr>
      <w:r>
        <w:rPr>
          <w:rFonts w:hint="eastAsia"/>
          <w:color w:val="auto"/>
          <w:highlight w:val="none"/>
          <w:lang w:eastAsia="zh-CN"/>
        </w:rPr>
        <w:t>九、</w:t>
      </w:r>
      <w:r>
        <w:rPr>
          <w:rFonts w:hint="eastAsia"/>
          <w:color w:val="auto"/>
          <w:highlight w:val="none"/>
        </w:rPr>
        <w:t>附表</w:t>
      </w:r>
    </w:p>
    <w:p w14:paraId="272937B6">
      <w:pPr>
        <w:ind w:firstLine="560"/>
        <w:rPr>
          <w:color w:val="auto"/>
          <w:highlight w:val="none"/>
        </w:rPr>
      </w:pPr>
      <w:r>
        <w:rPr>
          <w:rFonts w:hint="eastAsia"/>
          <w:color w:val="auto"/>
          <w:highlight w:val="none"/>
          <w:lang w:val="en-US" w:eastAsia="zh-CN"/>
        </w:rPr>
        <w:t>附件1：项目支出绩效评价绩效评价体系</w:t>
      </w:r>
    </w:p>
    <w:p w14:paraId="5C892CD4">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14:paraId="0D7AEB66">
      <w:pPr>
        <w:pStyle w:val="4"/>
        <w:rPr>
          <w:color w:val="auto"/>
          <w:highlight w:val="none"/>
        </w:rPr>
      </w:pPr>
    </w:p>
    <w:bookmarkEnd w:id="14"/>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FF534A">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87F669">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060989">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FF9E59">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20B7774">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320B7774">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F8203E">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A8E1FB">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4134A0">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UxM2Q3OTZiZGIzMDgwMDI3MjU2NjE5ZGI3Y2YxMTMifQ=="/>
  </w:docVars>
  <w:rsids>
    <w:rsidRoot w:val="68291A1A"/>
    <w:rsid w:val="001C088B"/>
    <w:rsid w:val="00272D23"/>
    <w:rsid w:val="00885A15"/>
    <w:rsid w:val="00A43D0F"/>
    <w:rsid w:val="00A83364"/>
    <w:rsid w:val="00DA0BA5"/>
    <w:rsid w:val="00E01AC9"/>
    <w:rsid w:val="00EC4605"/>
    <w:rsid w:val="00F77FAE"/>
    <w:rsid w:val="00FB5B81"/>
    <w:rsid w:val="00FE2E85"/>
    <w:rsid w:val="01210E75"/>
    <w:rsid w:val="01E925F2"/>
    <w:rsid w:val="03BB00BF"/>
    <w:rsid w:val="04FF572D"/>
    <w:rsid w:val="066F70AA"/>
    <w:rsid w:val="0708351A"/>
    <w:rsid w:val="09944CF1"/>
    <w:rsid w:val="099D6902"/>
    <w:rsid w:val="0A401CF1"/>
    <w:rsid w:val="0AD64679"/>
    <w:rsid w:val="0BC93765"/>
    <w:rsid w:val="0CB12375"/>
    <w:rsid w:val="0D0C3056"/>
    <w:rsid w:val="0D537DC9"/>
    <w:rsid w:val="0D885E3E"/>
    <w:rsid w:val="0DAE2941"/>
    <w:rsid w:val="0DB13246"/>
    <w:rsid w:val="0E5451B9"/>
    <w:rsid w:val="0E760F4E"/>
    <w:rsid w:val="0EB14497"/>
    <w:rsid w:val="0F9F0794"/>
    <w:rsid w:val="0FD82DB5"/>
    <w:rsid w:val="1103023A"/>
    <w:rsid w:val="118C0775"/>
    <w:rsid w:val="128D0D77"/>
    <w:rsid w:val="12F1313F"/>
    <w:rsid w:val="1471281F"/>
    <w:rsid w:val="1609105D"/>
    <w:rsid w:val="17AF7810"/>
    <w:rsid w:val="1A002E18"/>
    <w:rsid w:val="1A041D47"/>
    <w:rsid w:val="1BEA0FE8"/>
    <w:rsid w:val="1C4A596B"/>
    <w:rsid w:val="1FDC50EC"/>
    <w:rsid w:val="20A2086D"/>
    <w:rsid w:val="20A32962"/>
    <w:rsid w:val="20B21A37"/>
    <w:rsid w:val="21817779"/>
    <w:rsid w:val="21A41209"/>
    <w:rsid w:val="22A440DF"/>
    <w:rsid w:val="23C93BD9"/>
    <w:rsid w:val="245E1E24"/>
    <w:rsid w:val="256845EA"/>
    <w:rsid w:val="25A91CF5"/>
    <w:rsid w:val="26EF3957"/>
    <w:rsid w:val="289879A1"/>
    <w:rsid w:val="28A61969"/>
    <w:rsid w:val="28E60D8A"/>
    <w:rsid w:val="29C05630"/>
    <w:rsid w:val="2A053F0F"/>
    <w:rsid w:val="2A0C569A"/>
    <w:rsid w:val="2A5C3075"/>
    <w:rsid w:val="2B1F5779"/>
    <w:rsid w:val="2C103347"/>
    <w:rsid w:val="2DC37189"/>
    <w:rsid w:val="2DFA2E97"/>
    <w:rsid w:val="2E483E7E"/>
    <w:rsid w:val="2FCE2953"/>
    <w:rsid w:val="2FDE37A9"/>
    <w:rsid w:val="315B7BD0"/>
    <w:rsid w:val="332F7DDD"/>
    <w:rsid w:val="33944516"/>
    <w:rsid w:val="33FE342B"/>
    <w:rsid w:val="3522787D"/>
    <w:rsid w:val="35A33F5E"/>
    <w:rsid w:val="36185B49"/>
    <w:rsid w:val="379F4CA9"/>
    <w:rsid w:val="386532D8"/>
    <w:rsid w:val="38CC7587"/>
    <w:rsid w:val="39396D68"/>
    <w:rsid w:val="3A8B235A"/>
    <w:rsid w:val="3BB84807"/>
    <w:rsid w:val="3C494A2A"/>
    <w:rsid w:val="3C9E1AD1"/>
    <w:rsid w:val="3E04329F"/>
    <w:rsid w:val="3ED454B4"/>
    <w:rsid w:val="402112BD"/>
    <w:rsid w:val="413E2617"/>
    <w:rsid w:val="421633DB"/>
    <w:rsid w:val="426D5922"/>
    <w:rsid w:val="446A2417"/>
    <w:rsid w:val="453453BA"/>
    <w:rsid w:val="45D73ADC"/>
    <w:rsid w:val="49DF11B1"/>
    <w:rsid w:val="4A94466D"/>
    <w:rsid w:val="4A996944"/>
    <w:rsid w:val="4B545786"/>
    <w:rsid w:val="4C3216AC"/>
    <w:rsid w:val="4D600BD3"/>
    <w:rsid w:val="4E4A6D47"/>
    <w:rsid w:val="4EC15329"/>
    <w:rsid w:val="4F733A2D"/>
    <w:rsid w:val="4FB67747"/>
    <w:rsid w:val="4FD56C07"/>
    <w:rsid w:val="500656EA"/>
    <w:rsid w:val="511FF2A1"/>
    <w:rsid w:val="52ED0578"/>
    <w:rsid w:val="55A5494A"/>
    <w:rsid w:val="56803BC3"/>
    <w:rsid w:val="56FD7960"/>
    <w:rsid w:val="59C02DAD"/>
    <w:rsid w:val="5B1433B1"/>
    <w:rsid w:val="5C0731FC"/>
    <w:rsid w:val="5E0A0A9B"/>
    <w:rsid w:val="5F9C5101"/>
    <w:rsid w:val="5FAD3ACF"/>
    <w:rsid w:val="618129F7"/>
    <w:rsid w:val="6230362E"/>
    <w:rsid w:val="626F3307"/>
    <w:rsid w:val="62EE2619"/>
    <w:rsid w:val="653A5570"/>
    <w:rsid w:val="66F91E37"/>
    <w:rsid w:val="68291A1A"/>
    <w:rsid w:val="68DC2962"/>
    <w:rsid w:val="691B1594"/>
    <w:rsid w:val="69A50B98"/>
    <w:rsid w:val="69BD5A21"/>
    <w:rsid w:val="6ACE22AC"/>
    <w:rsid w:val="6B646BE4"/>
    <w:rsid w:val="6CBF6EF4"/>
    <w:rsid w:val="6F0D6C22"/>
    <w:rsid w:val="6FD57E76"/>
    <w:rsid w:val="6FF06988"/>
    <w:rsid w:val="71801FA8"/>
    <w:rsid w:val="72B05F6E"/>
    <w:rsid w:val="73F727AA"/>
    <w:rsid w:val="74370315"/>
    <w:rsid w:val="745F5557"/>
    <w:rsid w:val="74840544"/>
    <w:rsid w:val="74B60DFD"/>
    <w:rsid w:val="76C21ABB"/>
    <w:rsid w:val="76D2301A"/>
    <w:rsid w:val="774329A8"/>
    <w:rsid w:val="77861774"/>
    <w:rsid w:val="77C253BD"/>
    <w:rsid w:val="79300B45"/>
    <w:rsid w:val="79A17504"/>
    <w:rsid w:val="79FF3433"/>
    <w:rsid w:val="7AB73395"/>
    <w:rsid w:val="7B686778"/>
    <w:rsid w:val="7BCE4A5E"/>
    <w:rsid w:val="7E617414"/>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2">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3">
    <w:name w:val="heading 2"/>
    <w:basedOn w:val="1"/>
    <w:next w:val="1"/>
    <w:unhideWhenUsed/>
    <w:qFormat/>
    <w:uiPriority w:val="0"/>
    <w:pPr>
      <w:keepNext/>
      <w:keepLines/>
      <w:ind w:firstLine="964"/>
      <w:outlineLvl w:val="1"/>
    </w:pPr>
    <w:rPr>
      <w:rFonts w:ascii="Arial" w:hAnsi="Arial" w:eastAsia="楷体"/>
      <w:b/>
      <w:sz w:val="32"/>
    </w:rPr>
  </w:style>
  <w:style w:type="paragraph" w:styleId="4">
    <w:name w:val="heading 3"/>
    <w:basedOn w:val="1"/>
    <w:next w:val="1"/>
    <w:qFormat/>
    <w:uiPriority w:val="99"/>
    <w:pPr>
      <w:keepNext/>
      <w:keepLines/>
      <w:ind w:firstLine="883"/>
      <w:outlineLvl w:val="2"/>
    </w:pPr>
    <w:rPr>
      <w:b/>
      <w:bCs/>
      <w:kern w:val="0"/>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style>
  <w:style w:type="paragraph" w:styleId="7">
    <w:name w:val="Body Text 2"/>
    <w:basedOn w:val="1"/>
    <w:qFormat/>
    <w:uiPriority w:val="0"/>
    <w:pPr>
      <w:spacing w:after="120" w:line="480" w:lineRule="auto"/>
    </w:pPr>
    <w:rPr>
      <w:rFonts w:ascii="Times New Roman" w:hAnsi="Times New Roman" w:eastAsia="宋体" w:cs="Times New Roman"/>
    </w:rPr>
  </w:style>
  <w:style w:type="paragraph" w:styleId="8">
    <w:name w:val="Balloon Text"/>
    <w:basedOn w:val="1"/>
    <w:link w:val="22"/>
    <w:qFormat/>
    <w:uiPriority w:val="0"/>
    <w:pPr>
      <w:spacing w:line="240" w:lineRule="auto"/>
    </w:pPr>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1">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0"/>
    <w:rPr>
      <w:b/>
      <w:bCs/>
    </w:rPr>
  </w:style>
  <w:style w:type="character" w:styleId="16">
    <w:name w:val="annotation reference"/>
    <w:basedOn w:val="14"/>
    <w:qFormat/>
    <w:uiPriority w:val="0"/>
    <w:rPr>
      <w:sz w:val="21"/>
      <w:szCs w:val="21"/>
    </w:rPr>
  </w:style>
  <w:style w:type="paragraph" w:customStyle="1" w:styleId="17">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8">
    <w:name w:val="标题2"/>
    <w:basedOn w:val="3"/>
    <w:qFormat/>
    <w:uiPriority w:val="0"/>
    <w:pPr>
      <w:numPr>
        <w:ilvl w:val="0"/>
        <w:numId w:val="1"/>
      </w:numPr>
      <w:spacing w:before="120" w:after="120" w:line="500" w:lineRule="exact"/>
    </w:pPr>
    <w:rPr>
      <w:rFonts w:ascii="仿宋_GB2312" w:eastAsia="仿宋_GB2312"/>
    </w:rPr>
  </w:style>
  <w:style w:type="paragraph" w:customStyle="1" w:styleId="19">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20">
    <w:name w:val="闻政正文"/>
    <w:basedOn w:val="1"/>
    <w:qFormat/>
    <w:uiPriority w:val="99"/>
    <w:pPr>
      <w:spacing w:line="500" w:lineRule="exact"/>
      <w:ind w:firstLine="883"/>
    </w:pPr>
    <w:rPr>
      <w:rFonts w:ascii="Times New Roman" w:hAnsi="Times New Roman"/>
      <w:kern w:val="0"/>
      <w:szCs w:val="28"/>
    </w:rPr>
  </w:style>
  <w:style w:type="paragraph" w:customStyle="1" w:styleId="21">
    <w:name w:val="闻政-正文段落文字"/>
    <w:basedOn w:val="1"/>
    <w:qFormat/>
    <w:uiPriority w:val="3"/>
    <w:pPr>
      <w:spacing w:line="500" w:lineRule="exact"/>
      <w:ind w:firstLine="200"/>
    </w:pPr>
    <w:rPr>
      <w:rFonts w:ascii="Times New Roman" w:hAnsi="Times New Roman"/>
      <w:kern w:val="0"/>
      <w:szCs w:val="28"/>
    </w:rPr>
  </w:style>
  <w:style w:type="character" w:customStyle="1" w:styleId="22">
    <w:name w:val="批注框文本 字符"/>
    <w:basedOn w:val="14"/>
    <w:link w:val="8"/>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24</Pages>
  <Words>11987</Words>
  <Characters>12632</Characters>
  <Lines>71</Lines>
  <Paragraphs>20</Paragraphs>
  <TotalTime>0</TotalTime>
  <ScaleCrop>false</ScaleCrop>
  <LinksUpToDate>false</LinksUpToDate>
  <CharactersWithSpaces>12632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屈小雯</cp:lastModifiedBy>
  <dcterms:modified xsi:type="dcterms:W3CDTF">2025-05-15T09:40:05Z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48A9954A70FD430ABA41AE43CDE7E588</vt:lpwstr>
  </property>
  <property fmtid="{D5CDD505-2E9C-101B-9397-08002B2CF9AE}" pid="4" name="KSOTemplateDocerSaveRecord">
    <vt:lpwstr>eyJoZGlkIjoiMWRjZmY1OTU4ZWQ4NjUxZDE3ZDUyMjZmNjlmMjkzYmEiLCJ1c2VySWQiOiI0MDgzNTQxMjQifQ==</vt:lpwstr>
  </property>
</Properties>
</file>